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05B5" w14:textId="77777777" w:rsidR="00175A92" w:rsidRPr="00E65561" w:rsidRDefault="00175A92" w:rsidP="00175A92">
      <w:pPr>
        <w:jc w:val="center"/>
        <w:rPr>
          <w:b/>
          <w:bCs/>
          <w:color w:val="7030A0"/>
          <w:sz w:val="72"/>
          <w:szCs w:val="72"/>
        </w:rPr>
      </w:pPr>
      <w:r>
        <w:rPr>
          <w:b/>
          <w:bCs/>
          <w:color w:val="7030A0"/>
          <w:sz w:val="24"/>
          <w:szCs w:val="24"/>
        </w:rPr>
        <w:t>Person(s) In Position(s) of Trust</w:t>
      </w:r>
    </w:p>
    <w:p w14:paraId="08EBDADB" w14:textId="77777777" w:rsidR="00175A92" w:rsidRPr="00E65561" w:rsidRDefault="00175A92" w:rsidP="00175A92">
      <w:pPr>
        <w:spacing w:after="10"/>
        <w:jc w:val="center"/>
        <w:rPr>
          <w:b/>
          <w:sz w:val="24"/>
        </w:rPr>
      </w:pPr>
      <w:r w:rsidRPr="00E65561">
        <w:rPr>
          <w:b/>
          <w:sz w:val="28"/>
          <w:szCs w:val="20"/>
        </w:rPr>
        <w:t>Multi-Agency Audit</w:t>
      </w:r>
      <w:r w:rsidRPr="00E65561">
        <w:rPr>
          <w:b/>
          <w:sz w:val="32"/>
        </w:rPr>
        <w:br/>
      </w:r>
      <w:r>
        <w:rPr>
          <w:b/>
          <w:sz w:val="24"/>
        </w:rPr>
        <w:t>March</w:t>
      </w:r>
      <w:r w:rsidRPr="00E65561">
        <w:rPr>
          <w:b/>
          <w:sz w:val="24"/>
        </w:rPr>
        <w:t xml:space="preserve"> 2025</w:t>
      </w:r>
    </w:p>
    <w:p w14:paraId="04A0987F" w14:textId="77777777" w:rsidR="00175A92" w:rsidRDefault="00175A92"/>
    <w:p w14:paraId="0703F9F0" w14:textId="77777777" w:rsidR="00175A92" w:rsidRPr="00E65561" w:rsidRDefault="00175A92" w:rsidP="00175A92">
      <w:pPr>
        <w:rPr>
          <w:b/>
          <w:sz w:val="32"/>
        </w:rPr>
      </w:pPr>
      <w:r w:rsidRPr="00E65561">
        <w:rPr>
          <w:b/>
          <w:sz w:val="32"/>
        </w:rPr>
        <w:t>Introduction</w:t>
      </w:r>
    </w:p>
    <w:p w14:paraId="3E981D57" w14:textId="77777777" w:rsidR="00175A92" w:rsidRPr="00157A6D" w:rsidRDefault="00175A92" w:rsidP="00175A92">
      <w:pPr>
        <w:rPr>
          <w:sz w:val="20"/>
          <w:szCs w:val="20"/>
        </w:rPr>
      </w:pPr>
      <w:r w:rsidRPr="00157A6D">
        <w:rPr>
          <w:sz w:val="20"/>
          <w:szCs w:val="20"/>
        </w:rPr>
        <w:t>In Spring 2025, SSAB and Salford Adult Social Care delivered two ‘Bite Size Briefing’ sessions on Persons in Positions of Trust (PiPoT) to professionals working with adults at risk. These sessions aimed to strengthen safeguarding practices and clarify how to manage allegations against individuals in trusted roles.</w:t>
      </w:r>
    </w:p>
    <w:p w14:paraId="6CAA7270" w14:textId="77777777" w:rsidR="00175A92" w:rsidRDefault="00175A92" w:rsidP="00175A92">
      <w:pPr>
        <w:rPr>
          <w:sz w:val="20"/>
          <w:szCs w:val="20"/>
        </w:rPr>
      </w:pPr>
      <w:r w:rsidRPr="00157A6D">
        <w:rPr>
          <w:sz w:val="20"/>
          <w:szCs w:val="20"/>
        </w:rPr>
        <w:t>SSAB has published a multi-agency PiPoT framework and briefing document, with a local flowchart in development. This Outcome Report evaluates training impact and identifies areas for improvement, which will be discussed by SEG and progressed via the IIN.</w:t>
      </w:r>
    </w:p>
    <w:p w14:paraId="743C9DCF" w14:textId="77777777" w:rsidR="00175A92" w:rsidRDefault="00175A92" w:rsidP="00175A92">
      <w:pPr>
        <w:rPr>
          <w:sz w:val="20"/>
          <w:szCs w:val="20"/>
        </w:rPr>
      </w:pPr>
    </w:p>
    <w:p w14:paraId="2AFB7D8F" w14:textId="77777777" w:rsidR="00175A92" w:rsidRPr="00E65561" w:rsidRDefault="00175A92" w:rsidP="00175A92">
      <w:pPr>
        <w:rPr>
          <w:b/>
          <w:sz w:val="32"/>
        </w:rPr>
      </w:pPr>
      <w:r w:rsidRPr="00E65561">
        <w:rPr>
          <w:b/>
          <w:sz w:val="32"/>
        </w:rPr>
        <w:t>What is ‘</w:t>
      </w:r>
      <w:r>
        <w:rPr>
          <w:b/>
          <w:sz w:val="32"/>
        </w:rPr>
        <w:t>PiPoT</w:t>
      </w:r>
      <w:r w:rsidRPr="00E65561">
        <w:rPr>
          <w:b/>
          <w:sz w:val="32"/>
        </w:rPr>
        <w:t>’?</w:t>
      </w:r>
    </w:p>
    <w:p w14:paraId="0D0C9DAF" w14:textId="77777777" w:rsidR="00175A92" w:rsidRPr="001A3986" w:rsidRDefault="00175A92" w:rsidP="00175A92">
      <w:pPr>
        <w:rPr>
          <w:rFonts w:cstheme="minorHAnsi"/>
          <w:sz w:val="20"/>
          <w:szCs w:val="20"/>
        </w:rPr>
      </w:pPr>
      <w:r w:rsidRPr="001A3986">
        <w:rPr>
          <w:rFonts w:cstheme="minorHAnsi"/>
          <w:sz w:val="20"/>
          <w:szCs w:val="20"/>
        </w:rPr>
        <w:t>‘Persons in Positions of Trust, refers to individuals—paid or voluntary—who work with adults needing care and support, where their role carries an expectation of trust, AND the person is in a position to exercise authority, power or control over an adult at risk (as perceived by the adult at risk), AND their role carries expectation of trust AND the person is in a position to exercise authority, power or control over an adult(s) at risk (as perceived by the adult at risk).</w:t>
      </w:r>
    </w:p>
    <w:p w14:paraId="380A0809" w14:textId="77777777" w:rsidR="00175A92" w:rsidRDefault="00175A92" w:rsidP="00175A92">
      <w:pPr>
        <w:rPr>
          <w:rFonts w:cstheme="minorHAnsi"/>
          <w:sz w:val="20"/>
          <w:szCs w:val="20"/>
        </w:rPr>
      </w:pPr>
      <w:r w:rsidRPr="001A3986">
        <w:rPr>
          <w:rFonts w:cstheme="minorHAnsi"/>
          <w:sz w:val="20"/>
          <w:szCs w:val="20"/>
        </w:rPr>
        <w:t>The SSAB PiPoT framework ensures allegations are handled appropriately, distinguishing between misconduct, poor practice, and complaints, and promotes a consistent, multi-agency approach across Salford.</w:t>
      </w:r>
    </w:p>
    <w:p w14:paraId="77AEA46C" w14:textId="77777777" w:rsidR="00175A92" w:rsidRDefault="00175A92" w:rsidP="00175A92">
      <w:pPr>
        <w:rPr>
          <w:rFonts w:cstheme="minorHAnsi"/>
          <w:sz w:val="20"/>
          <w:szCs w:val="20"/>
        </w:rPr>
      </w:pPr>
    </w:p>
    <w:p w14:paraId="7B5E2628" w14:textId="77777777" w:rsidR="00175A92" w:rsidRPr="00E65561" w:rsidRDefault="00175A92" w:rsidP="00175A92">
      <w:pPr>
        <w:rPr>
          <w:b/>
          <w:sz w:val="32"/>
        </w:rPr>
      </w:pPr>
      <w:r w:rsidRPr="00E65561">
        <w:rPr>
          <w:b/>
          <w:sz w:val="32"/>
        </w:rPr>
        <w:t>Participation</w:t>
      </w:r>
    </w:p>
    <w:p w14:paraId="65EACC0F" w14:textId="77777777" w:rsidR="00175A92" w:rsidRPr="00696970" w:rsidRDefault="00175A92" w:rsidP="00175A92">
      <w:pPr>
        <w:rPr>
          <w:sz w:val="19"/>
          <w:szCs w:val="19"/>
        </w:rPr>
      </w:pPr>
      <w:r w:rsidRPr="00696970">
        <w:rPr>
          <w:sz w:val="19"/>
          <w:szCs w:val="19"/>
        </w:rPr>
        <w:t>The training reached 59 professionals across sectors including social care, housing, healthcare, and emergency services. A follow-up survey received 38 responses (64%), assessing retention and confidence in applying PiPoT procedures.</w:t>
      </w:r>
    </w:p>
    <w:p w14:paraId="7BA33B47" w14:textId="77777777" w:rsidR="00175A92" w:rsidRDefault="00175A92" w:rsidP="00175A92">
      <w:pPr>
        <w:rPr>
          <w:sz w:val="19"/>
          <w:szCs w:val="19"/>
        </w:rPr>
      </w:pPr>
      <w:r w:rsidRPr="00696970">
        <w:rPr>
          <w:sz w:val="19"/>
          <w:szCs w:val="19"/>
        </w:rPr>
        <w:t>Most responses came from ‘Social Care – Adults’ (29%) and Salford City Council (21%)</w:t>
      </w:r>
      <w:r>
        <w:rPr>
          <w:sz w:val="19"/>
          <w:szCs w:val="19"/>
        </w:rPr>
        <w:t>, in proportion to the training attendance for these sectors</w:t>
      </w:r>
      <w:r w:rsidRPr="00696970">
        <w:rPr>
          <w:sz w:val="19"/>
          <w:szCs w:val="19"/>
        </w:rPr>
        <w:t>. Healthcare sector participation was low, highlighting a need for broader engagement in future sessions.</w:t>
      </w:r>
    </w:p>
    <w:p w14:paraId="6077F223" w14:textId="77777777" w:rsidR="00175A92" w:rsidRDefault="00175A92" w:rsidP="00175A92">
      <w:pPr>
        <w:rPr>
          <w:sz w:val="19"/>
          <w:szCs w:val="19"/>
        </w:rPr>
      </w:pPr>
    </w:p>
    <w:p w14:paraId="4B1013BB" w14:textId="77777777" w:rsidR="00175A92" w:rsidRPr="00E65561" w:rsidRDefault="00175A92" w:rsidP="00175A92">
      <w:pPr>
        <w:rPr>
          <w:b/>
          <w:sz w:val="32"/>
        </w:rPr>
      </w:pPr>
      <w:r>
        <w:rPr>
          <w:b/>
          <w:sz w:val="32"/>
        </w:rPr>
        <w:t>Key Findings</w:t>
      </w:r>
    </w:p>
    <w:p w14:paraId="42D1CA5F" w14:textId="77777777" w:rsidR="00175A92" w:rsidRPr="00DE45E9" w:rsidRDefault="00175A92" w:rsidP="00175A92">
      <w:pPr>
        <w:rPr>
          <w:sz w:val="19"/>
          <w:szCs w:val="19"/>
        </w:rPr>
      </w:pPr>
      <w:r w:rsidRPr="00DE45E9">
        <w:rPr>
          <w:sz w:val="19"/>
          <w:szCs w:val="19"/>
        </w:rPr>
        <w:t>Survey results showed strong retention: 100% recalled the PiPoT acronym, and 92% were familiar with the SSAB framework. All respondents knew how to report a PiPoT allegation or could easily find out.</w:t>
      </w:r>
    </w:p>
    <w:p w14:paraId="054D6566" w14:textId="77777777" w:rsidR="00175A92" w:rsidRDefault="00175A92" w:rsidP="00175A92">
      <w:pPr>
        <w:rPr>
          <w:sz w:val="19"/>
          <w:szCs w:val="19"/>
        </w:rPr>
      </w:pPr>
      <w:r w:rsidRPr="00DE45E9">
        <w:rPr>
          <w:sz w:val="19"/>
          <w:szCs w:val="19"/>
        </w:rPr>
        <w:t>Confidence in applying the framework was high, with 64% rating it 4 or 5 out of 5. However, 37% said their organisation hadn’t highlighted PiPoT or they couldn’t recall it, indicating gaps in internal communication.</w:t>
      </w:r>
    </w:p>
    <w:p w14:paraId="19F0ED3F" w14:textId="77777777" w:rsidR="00175A92" w:rsidRDefault="00175A92" w:rsidP="00175A92">
      <w:pPr>
        <w:rPr>
          <w:sz w:val="19"/>
          <w:szCs w:val="19"/>
        </w:rPr>
      </w:pPr>
    </w:p>
    <w:p w14:paraId="1E39714D" w14:textId="77777777" w:rsidR="00175A92" w:rsidRPr="00E65561" w:rsidRDefault="00175A92" w:rsidP="00175A92">
      <w:pPr>
        <w:rPr>
          <w:b/>
          <w:sz w:val="32"/>
        </w:rPr>
      </w:pPr>
      <w:r>
        <w:rPr>
          <w:b/>
          <w:sz w:val="32"/>
        </w:rPr>
        <w:t>Good Practice</w:t>
      </w:r>
    </w:p>
    <w:p w14:paraId="1CBC5265" w14:textId="77777777" w:rsidR="00175A92" w:rsidRPr="009C04E7" w:rsidRDefault="00175A92" w:rsidP="00175A92">
      <w:pPr>
        <w:rPr>
          <w:sz w:val="19"/>
          <w:szCs w:val="19"/>
        </w:rPr>
      </w:pPr>
      <w:r w:rsidRPr="009C04E7">
        <w:rPr>
          <w:sz w:val="19"/>
          <w:szCs w:val="19"/>
        </w:rPr>
        <w:t>Attendees praised the training’s clarity and relevance, reporting increased confidence in identifying and responding to PiPoT concerns. Some used the training to raise awareness within their teams.</w:t>
      </w:r>
    </w:p>
    <w:p w14:paraId="7FB1A1BD" w14:textId="77777777" w:rsidR="00175A92" w:rsidRDefault="00175A92" w:rsidP="00175A92">
      <w:pPr>
        <w:rPr>
          <w:sz w:val="19"/>
          <w:szCs w:val="19"/>
        </w:rPr>
      </w:pPr>
      <w:r w:rsidRPr="009C04E7">
        <w:rPr>
          <w:sz w:val="19"/>
          <w:szCs w:val="19"/>
        </w:rPr>
        <w:t xml:space="preserve">The multi-agency approach and accessible resources were valued. Many </w:t>
      </w:r>
      <w:r>
        <w:rPr>
          <w:sz w:val="19"/>
          <w:szCs w:val="19"/>
        </w:rPr>
        <w:t xml:space="preserve">said they </w:t>
      </w:r>
      <w:r w:rsidRPr="009C04E7">
        <w:rPr>
          <w:sz w:val="19"/>
          <w:szCs w:val="19"/>
        </w:rPr>
        <w:t>felt better equipped to handle safeguarding scenarios</w:t>
      </w:r>
      <w:r>
        <w:rPr>
          <w:sz w:val="19"/>
          <w:szCs w:val="19"/>
        </w:rPr>
        <w:t xml:space="preserve"> after the session</w:t>
      </w:r>
      <w:r w:rsidRPr="009C04E7">
        <w:rPr>
          <w:sz w:val="19"/>
          <w:szCs w:val="19"/>
        </w:rPr>
        <w:t>, showing the training’s positive impact on practice.</w:t>
      </w:r>
    </w:p>
    <w:p w14:paraId="0D1F083A" w14:textId="77777777" w:rsidR="00175A92" w:rsidRDefault="00175A92" w:rsidP="00175A92">
      <w:pPr>
        <w:rPr>
          <w:sz w:val="19"/>
          <w:szCs w:val="19"/>
        </w:rPr>
      </w:pPr>
    </w:p>
    <w:p w14:paraId="4C025032" w14:textId="77777777" w:rsidR="00175A92" w:rsidRDefault="00175A92" w:rsidP="00175A92">
      <w:pPr>
        <w:rPr>
          <w:b/>
          <w:sz w:val="32"/>
        </w:rPr>
      </w:pPr>
    </w:p>
    <w:p w14:paraId="079B9479" w14:textId="77777777" w:rsidR="00175A92" w:rsidRDefault="00175A92" w:rsidP="00175A92">
      <w:pPr>
        <w:rPr>
          <w:b/>
          <w:sz w:val="32"/>
        </w:rPr>
      </w:pPr>
    </w:p>
    <w:p w14:paraId="05FDDB64" w14:textId="0FCB5C2B" w:rsidR="00175A92" w:rsidRPr="00E65561" w:rsidRDefault="00175A92" w:rsidP="00175A92">
      <w:pPr>
        <w:rPr>
          <w:b/>
          <w:sz w:val="32"/>
        </w:rPr>
      </w:pPr>
      <w:r>
        <w:rPr>
          <w:b/>
          <w:sz w:val="32"/>
        </w:rPr>
        <w:t>Considerations</w:t>
      </w:r>
    </w:p>
    <w:p w14:paraId="76D63FA0" w14:textId="77777777" w:rsidR="00175A92" w:rsidRPr="004A6B99" w:rsidRDefault="00175A92" w:rsidP="00175A92">
      <w:pPr>
        <w:rPr>
          <w:sz w:val="18"/>
          <w:szCs w:val="18"/>
        </w:rPr>
      </w:pPr>
      <w:r w:rsidRPr="004A6B99">
        <w:rPr>
          <w:sz w:val="18"/>
          <w:szCs w:val="18"/>
        </w:rPr>
        <w:t xml:space="preserve">Despite the positive outcomes, the report identifies areas for improvement. Attendance from healthcare, emergency services, and voluntary sectors was limited, suggesting a need for broader engagement. </w:t>
      </w:r>
      <w:r>
        <w:rPr>
          <w:sz w:val="18"/>
          <w:szCs w:val="18"/>
        </w:rPr>
        <w:t>S</w:t>
      </w:r>
      <w:r w:rsidRPr="004A6B99">
        <w:rPr>
          <w:sz w:val="18"/>
          <w:szCs w:val="18"/>
        </w:rPr>
        <w:t xml:space="preserve">ome professionals </w:t>
      </w:r>
      <w:r>
        <w:rPr>
          <w:sz w:val="18"/>
          <w:szCs w:val="18"/>
        </w:rPr>
        <w:t xml:space="preserve"> also </w:t>
      </w:r>
      <w:r w:rsidRPr="004A6B99">
        <w:rPr>
          <w:sz w:val="18"/>
          <w:szCs w:val="18"/>
        </w:rPr>
        <w:t>reported difficulty locating internal policies or uncertainty about their roles in the PiPoT process.</w:t>
      </w:r>
    </w:p>
    <w:p w14:paraId="1453D517" w14:textId="77777777" w:rsidR="00175A92" w:rsidRDefault="00175A92" w:rsidP="00175A92">
      <w:pPr>
        <w:rPr>
          <w:sz w:val="18"/>
          <w:szCs w:val="18"/>
        </w:rPr>
      </w:pPr>
      <w:r w:rsidRPr="004A6B99">
        <w:rPr>
          <w:sz w:val="18"/>
          <w:szCs w:val="18"/>
        </w:rPr>
        <w:t xml:space="preserve">The SEG is </w:t>
      </w:r>
      <w:r>
        <w:rPr>
          <w:sz w:val="18"/>
          <w:szCs w:val="18"/>
        </w:rPr>
        <w:t>ask</w:t>
      </w:r>
      <w:r w:rsidRPr="004A6B99">
        <w:rPr>
          <w:sz w:val="18"/>
          <w:szCs w:val="18"/>
        </w:rPr>
        <w:t xml:space="preserve">ed to consider whether </w:t>
      </w:r>
      <w:r>
        <w:rPr>
          <w:sz w:val="18"/>
          <w:szCs w:val="18"/>
        </w:rPr>
        <w:t xml:space="preserve">to recommend </w:t>
      </w:r>
      <w:r w:rsidRPr="004A6B99">
        <w:rPr>
          <w:sz w:val="18"/>
          <w:szCs w:val="18"/>
        </w:rPr>
        <w:t>further awareness-raising within Adult Social Care and the Local Authority</w:t>
      </w:r>
      <w:r>
        <w:rPr>
          <w:sz w:val="18"/>
          <w:szCs w:val="18"/>
        </w:rPr>
        <w:t xml:space="preserve"> via the IIN</w:t>
      </w:r>
      <w:r w:rsidRPr="004A6B99">
        <w:rPr>
          <w:sz w:val="18"/>
          <w:szCs w:val="18"/>
        </w:rPr>
        <w:t xml:space="preserve">. There is also a question </w:t>
      </w:r>
      <w:r>
        <w:rPr>
          <w:sz w:val="18"/>
          <w:szCs w:val="18"/>
        </w:rPr>
        <w:t xml:space="preserve">about </w:t>
      </w:r>
      <w:r w:rsidRPr="004A6B99">
        <w:rPr>
          <w:sz w:val="18"/>
          <w:szCs w:val="18"/>
        </w:rPr>
        <w:t>engag</w:t>
      </w:r>
      <w:r>
        <w:rPr>
          <w:sz w:val="18"/>
          <w:szCs w:val="18"/>
        </w:rPr>
        <w:t>ing</w:t>
      </w:r>
      <w:r w:rsidRPr="004A6B99">
        <w:rPr>
          <w:sz w:val="18"/>
          <w:szCs w:val="18"/>
        </w:rPr>
        <w:t xml:space="preserve"> professionals from underrepresented sectors, such as pharmacists, opticians, and religious communities, who may also work with adults at risk but were not present in the training sessions</w:t>
      </w:r>
      <w:r>
        <w:rPr>
          <w:sz w:val="18"/>
          <w:szCs w:val="18"/>
        </w:rPr>
        <w:t>.</w:t>
      </w:r>
    </w:p>
    <w:p w14:paraId="58991D01" w14:textId="77777777" w:rsidR="00175A92" w:rsidRDefault="00175A92" w:rsidP="00175A92">
      <w:pPr>
        <w:rPr>
          <w:sz w:val="18"/>
          <w:szCs w:val="18"/>
        </w:rPr>
      </w:pPr>
    </w:p>
    <w:p w14:paraId="1BD9C3FA" w14:textId="77777777" w:rsidR="00175A92" w:rsidRPr="00E65561" w:rsidRDefault="00175A92" w:rsidP="00175A92">
      <w:pPr>
        <w:ind w:left="142" w:hanging="142"/>
        <w:rPr>
          <w:b/>
          <w:sz w:val="32"/>
          <w:szCs w:val="32"/>
        </w:rPr>
      </w:pPr>
      <w:r>
        <w:rPr>
          <w:b/>
          <w:sz w:val="32"/>
          <w:szCs w:val="32"/>
        </w:rPr>
        <w:t>Resources</w:t>
      </w:r>
    </w:p>
    <w:p w14:paraId="0C401C59" w14:textId="77777777" w:rsidR="00175A92" w:rsidRPr="007F7A37" w:rsidRDefault="00175A92" w:rsidP="00175A92">
      <w:pPr>
        <w:rPr>
          <w:sz w:val="20"/>
          <w:szCs w:val="20"/>
          <w:lang w:val="en-US"/>
        </w:rPr>
      </w:pPr>
      <w:r w:rsidRPr="007F7A37">
        <w:rPr>
          <w:sz w:val="20"/>
          <w:szCs w:val="20"/>
          <w:lang w:val="en-US"/>
        </w:rPr>
        <w:t>For further information, agencies are encouraged to consult the full Outcome Report. Th</w:t>
      </w:r>
      <w:r w:rsidRPr="00C961F9">
        <w:rPr>
          <w:sz w:val="20"/>
          <w:szCs w:val="20"/>
          <w:lang w:val="en-US"/>
        </w:rPr>
        <w:t>is</w:t>
      </w:r>
      <w:r w:rsidRPr="007F7A37">
        <w:rPr>
          <w:sz w:val="20"/>
          <w:szCs w:val="20"/>
          <w:lang w:val="en-US"/>
        </w:rPr>
        <w:t xml:space="preserve"> document provide</w:t>
      </w:r>
      <w:r w:rsidRPr="00C961F9">
        <w:rPr>
          <w:sz w:val="20"/>
          <w:szCs w:val="20"/>
          <w:lang w:val="en-US"/>
        </w:rPr>
        <w:t>s</w:t>
      </w:r>
      <w:r w:rsidRPr="007F7A37">
        <w:rPr>
          <w:sz w:val="20"/>
          <w:szCs w:val="20"/>
          <w:lang w:val="en-US"/>
        </w:rPr>
        <w:t xml:space="preserve"> detailed findings, </w:t>
      </w:r>
      <w:r w:rsidRPr="00C961F9">
        <w:rPr>
          <w:sz w:val="20"/>
          <w:szCs w:val="20"/>
          <w:lang w:val="en-US"/>
        </w:rPr>
        <w:t xml:space="preserve">and makes </w:t>
      </w:r>
      <w:r w:rsidRPr="007F7A37">
        <w:rPr>
          <w:sz w:val="20"/>
          <w:szCs w:val="20"/>
          <w:lang w:val="en-US"/>
        </w:rPr>
        <w:t>recommendations</w:t>
      </w:r>
      <w:r w:rsidRPr="00C961F9">
        <w:rPr>
          <w:sz w:val="20"/>
          <w:szCs w:val="20"/>
          <w:lang w:val="en-US"/>
        </w:rPr>
        <w:t xml:space="preserve"> for </w:t>
      </w:r>
      <w:r w:rsidRPr="007F7A37">
        <w:rPr>
          <w:sz w:val="20"/>
          <w:szCs w:val="20"/>
          <w:lang w:val="en-US"/>
        </w:rPr>
        <w:t xml:space="preserve">operational actions </w:t>
      </w:r>
      <w:r w:rsidRPr="00C961F9">
        <w:rPr>
          <w:sz w:val="20"/>
          <w:szCs w:val="20"/>
          <w:lang w:val="en-US"/>
        </w:rPr>
        <w:t xml:space="preserve">in the spirit of </w:t>
      </w:r>
      <w:r w:rsidRPr="007F7A37">
        <w:rPr>
          <w:sz w:val="20"/>
          <w:szCs w:val="20"/>
          <w:lang w:val="en-US"/>
        </w:rPr>
        <w:t xml:space="preserve">continuous </w:t>
      </w:r>
      <w:r w:rsidRPr="00C961F9">
        <w:rPr>
          <w:sz w:val="20"/>
          <w:szCs w:val="20"/>
          <w:lang w:val="en-US"/>
        </w:rPr>
        <w:t xml:space="preserve">safeguarding </w:t>
      </w:r>
      <w:r w:rsidRPr="007F7A37">
        <w:rPr>
          <w:sz w:val="20"/>
          <w:szCs w:val="20"/>
          <w:lang w:val="en-US"/>
        </w:rPr>
        <w:t>improvement.</w:t>
      </w:r>
    </w:p>
    <w:p w14:paraId="128C4399" w14:textId="77777777" w:rsidR="00175A92" w:rsidRPr="00C961F9" w:rsidRDefault="00175A92" w:rsidP="00175A92">
      <w:pPr>
        <w:rPr>
          <w:sz w:val="20"/>
          <w:szCs w:val="20"/>
          <w:lang w:val="en-US"/>
        </w:rPr>
      </w:pPr>
      <w:r w:rsidRPr="00C961F9">
        <w:rPr>
          <w:sz w:val="20"/>
          <w:szCs w:val="20"/>
          <w:lang w:val="en-US"/>
        </w:rPr>
        <w:t>Additional resources:</w:t>
      </w:r>
    </w:p>
    <w:p w14:paraId="2A0A0014" w14:textId="77777777" w:rsidR="00175A92" w:rsidRPr="00175A92" w:rsidRDefault="00175A92" w:rsidP="00175A92">
      <w:pPr>
        <w:numPr>
          <w:ilvl w:val="0"/>
          <w:numId w:val="2"/>
        </w:numPr>
        <w:tabs>
          <w:tab w:val="num" w:pos="720"/>
        </w:tabs>
        <w:rPr>
          <w:b/>
          <w:bCs/>
          <w:color w:val="0563C1" w:themeColor="hyperlink"/>
          <w:sz w:val="18"/>
          <w:szCs w:val="18"/>
          <w:u w:val="single"/>
        </w:rPr>
      </w:pPr>
      <w:hyperlink r:id="rId8" w:history="1">
        <w:r w:rsidRPr="00175A92">
          <w:rPr>
            <w:rStyle w:val="Hyperlink"/>
            <w:b/>
            <w:bCs/>
            <w:sz w:val="18"/>
            <w:szCs w:val="18"/>
          </w:rPr>
          <w:t>SSAB PiPoT webpage</w:t>
        </w:r>
      </w:hyperlink>
    </w:p>
    <w:p w14:paraId="5CB1BB48" w14:textId="319C76DC" w:rsidR="00175A92" w:rsidRPr="00175A92" w:rsidRDefault="00175A92" w:rsidP="00175A92">
      <w:pPr>
        <w:numPr>
          <w:ilvl w:val="0"/>
          <w:numId w:val="2"/>
        </w:numPr>
        <w:tabs>
          <w:tab w:val="num" w:pos="720"/>
        </w:tabs>
        <w:rPr>
          <w:rStyle w:val="Hyperlink"/>
          <w:b/>
          <w:bCs/>
          <w:sz w:val="18"/>
          <w:szCs w:val="18"/>
        </w:rPr>
      </w:pPr>
      <w:r w:rsidRPr="00175A92">
        <w:rPr>
          <w:b/>
          <w:bCs/>
          <w:sz w:val="18"/>
          <w:szCs w:val="18"/>
        </w:rPr>
        <w:fldChar w:fldCharType="begin"/>
      </w:r>
      <w:r w:rsidR="006E2608">
        <w:rPr>
          <w:b/>
          <w:bCs/>
          <w:sz w:val="18"/>
          <w:szCs w:val="18"/>
        </w:rPr>
        <w:instrText>HYPERLINK "https://safeguardingadults.salford.gov.uk/media/eosfb5pa/persons-in-position-of-trust-framework-final-updated-june-2025.pdf"</w:instrText>
      </w:r>
      <w:r w:rsidR="006E2608" w:rsidRPr="00175A92">
        <w:rPr>
          <w:b/>
          <w:bCs/>
          <w:sz w:val="18"/>
          <w:szCs w:val="18"/>
        </w:rPr>
      </w:r>
      <w:r w:rsidRPr="00175A92">
        <w:rPr>
          <w:b/>
          <w:bCs/>
          <w:sz w:val="18"/>
          <w:szCs w:val="18"/>
        </w:rPr>
        <w:fldChar w:fldCharType="separate"/>
      </w:r>
      <w:r w:rsidRPr="00175A92">
        <w:rPr>
          <w:rStyle w:val="Hyperlink"/>
          <w:b/>
          <w:bCs/>
          <w:sz w:val="18"/>
          <w:szCs w:val="18"/>
        </w:rPr>
        <w:t>SSAB PiPoT Framework and Process</w:t>
      </w:r>
    </w:p>
    <w:p w14:paraId="296AA5F4" w14:textId="154FA8FB" w:rsidR="00175A92" w:rsidRPr="00A90424" w:rsidRDefault="00175A92" w:rsidP="00175A92">
      <w:pPr>
        <w:numPr>
          <w:ilvl w:val="0"/>
          <w:numId w:val="2"/>
        </w:numPr>
        <w:tabs>
          <w:tab w:val="num" w:pos="720"/>
        </w:tabs>
        <w:rPr>
          <w:rStyle w:val="Hyperlink"/>
          <w:b/>
          <w:bCs/>
          <w:sz w:val="18"/>
          <w:szCs w:val="18"/>
        </w:rPr>
      </w:pPr>
      <w:r w:rsidRPr="00175A92">
        <w:rPr>
          <w:b/>
          <w:bCs/>
          <w:sz w:val="18"/>
          <w:szCs w:val="18"/>
        </w:rPr>
        <w:fldChar w:fldCharType="end"/>
      </w:r>
      <w:r w:rsidR="00A90424">
        <w:rPr>
          <w:b/>
          <w:bCs/>
          <w:sz w:val="18"/>
          <w:szCs w:val="18"/>
        </w:rPr>
        <w:fldChar w:fldCharType="begin"/>
      </w:r>
      <w:r w:rsidR="00A90424">
        <w:rPr>
          <w:b/>
          <w:bCs/>
          <w:sz w:val="18"/>
          <w:szCs w:val="18"/>
        </w:rPr>
        <w:instrText>HYPERLINK "https://safeguardingadults.salford.gov.uk/media/rjfp3xd2/pipot-7mb-plain-text-version-1.pdf"</w:instrText>
      </w:r>
      <w:r w:rsidR="00A90424">
        <w:rPr>
          <w:b/>
          <w:bCs/>
          <w:sz w:val="18"/>
          <w:szCs w:val="18"/>
        </w:rPr>
      </w:r>
      <w:r w:rsidR="00A90424">
        <w:rPr>
          <w:b/>
          <w:bCs/>
          <w:sz w:val="18"/>
          <w:szCs w:val="18"/>
        </w:rPr>
        <w:fldChar w:fldCharType="separate"/>
      </w:r>
      <w:r w:rsidRPr="00A90424">
        <w:rPr>
          <w:rStyle w:val="Hyperlink"/>
          <w:b/>
          <w:bCs/>
          <w:sz w:val="18"/>
          <w:szCs w:val="18"/>
        </w:rPr>
        <w:t>PiPoT 7-Minute Briefing</w:t>
      </w:r>
    </w:p>
    <w:p w14:paraId="7B6D5196" w14:textId="295EE707" w:rsidR="00175A92" w:rsidRPr="00175A92" w:rsidRDefault="00A90424" w:rsidP="00175A92">
      <w:pPr>
        <w:numPr>
          <w:ilvl w:val="0"/>
          <w:numId w:val="2"/>
        </w:numPr>
        <w:tabs>
          <w:tab w:val="num" w:pos="720"/>
        </w:tabs>
        <w:rPr>
          <w:b/>
          <w:bCs/>
          <w:sz w:val="18"/>
          <w:szCs w:val="18"/>
        </w:rPr>
      </w:pPr>
      <w:r>
        <w:rPr>
          <w:b/>
          <w:bCs/>
          <w:sz w:val="18"/>
          <w:szCs w:val="18"/>
        </w:rPr>
        <w:fldChar w:fldCharType="end"/>
      </w:r>
      <w:hyperlink r:id="rId9" w:history="1">
        <w:r w:rsidR="00175A92" w:rsidRPr="00175A92">
          <w:rPr>
            <w:rStyle w:val="Hyperlink"/>
            <w:b/>
            <w:bCs/>
            <w:sz w:val="18"/>
            <w:szCs w:val="18"/>
          </w:rPr>
          <w:t>PiPoT Allegation Management Flowchart</w:t>
        </w:r>
      </w:hyperlink>
    </w:p>
    <w:p w14:paraId="7AF8D038" w14:textId="3E53A604" w:rsidR="0082267B" w:rsidRDefault="00175A92" w:rsidP="00A2459F">
      <w:pPr>
        <w:numPr>
          <w:ilvl w:val="0"/>
          <w:numId w:val="2"/>
        </w:numPr>
        <w:tabs>
          <w:tab w:val="num" w:pos="720"/>
        </w:tabs>
        <w:rPr>
          <w:b/>
          <w:bCs/>
          <w:sz w:val="18"/>
          <w:szCs w:val="18"/>
        </w:rPr>
      </w:pPr>
      <w:hyperlink r:id="rId10" w:history="1">
        <w:r w:rsidRPr="00175A92">
          <w:rPr>
            <w:rStyle w:val="Hyperlink"/>
            <w:b/>
            <w:bCs/>
            <w:sz w:val="18"/>
            <w:szCs w:val="18"/>
          </w:rPr>
          <w:t>SSAB Multi-Agency Escalation Policy</w:t>
        </w:r>
      </w:hyperlink>
    </w:p>
    <w:p w14:paraId="5794907B" w14:textId="77777777" w:rsidR="00A2459F" w:rsidRDefault="00A2459F" w:rsidP="00A2459F">
      <w:pPr>
        <w:rPr>
          <w:b/>
          <w:bCs/>
          <w:sz w:val="18"/>
          <w:szCs w:val="18"/>
        </w:rPr>
      </w:pPr>
    </w:p>
    <w:p w14:paraId="256FE4E5" w14:textId="15A9FFA3" w:rsidR="00A2459F" w:rsidRPr="00175A92" w:rsidRDefault="00A2459F" w:rsidP="00A2459F">
      <w:pPr>
        <w:rPr>
          <w:b/>
          <w:color w:val="222A35" w:themeColor="text2" w:themeShade="80"/>
        </w:rPr>
      </w:pPr>
      <w:r w:rsidRPr="00175A92">
        <w:rPr>
          <w:b/>
          <w:color w:val="222A35" w:themeColor="text2" w:themeShade="80"/>
        </w:rPr>
        <w:t>For further information, please contact:</w:t>
      </w:r>
      <w:r>
        <w:rPr>
          <w:b/>
          <w:color w:val="222A35" w:themeColor="text2" w:themeShade="80"/>
        </w:rPr>
        <w:t xml:space="preserve"> </w:t>
      </w:r>
      <w:r w:rsidRPr="00175A92">
        <w:rPr>
          <w:b/>
          <w:color w:val="222A35" w:themeColor="text2" w:themeShade="80"/>
        </w:rPr>
        <w:t>ssab@salford.gov.uk</w:t>
      </w:r>
    </w:p>
    <w:p w14:paraId="7BDB4195" w14:textId="77777777" w:rsidR="00A2459F" w:rsidRPr="00A2459F" w:rsidRDefault="00A2459F" w:rsidP="00A2459F">
      <w:pPr>
        <w:rPr>
          <w:b/>
          <w:bCs/>
          <w:sz w:val="18"/>
          <w:szCs w:val="18"/>
        </w:rPr>
      </w:pPr>
    </w:p>
    <w:sectPr w:rsidR="00A2459F" w:rsidRPr="00A2459F" w:rsidSect="000A64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568B"/>
    <w:multiLevelType w:val="multilevel"/>
    <w:tmpl w:val="90F8EE7A"/>
    <w:lvl w:ilvl="0">
      <w:start w:val="1"/>
      <w:numFmt w:val="bullet"/>
      <w:lvlText w:val=""/>
      <w:lvlJc w:val="left"/>
      <w:pPr>
        <w:tabs>
          <w:tab w:val="num" w:pos="502"/>
        </w:tabs>
        <w:ind w:left="502" w:hanging="360"/>
      </w:pPr>
      <w:rPr>
        <w:rFonts w:ascii="Symbol" w:hAnsi="Symbol" w:hint="default"/>
        <w:color w:val="auto"/>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21A74CAE"/>
    <w:multiLevelType w:val="hybridMultilevel"/>
    <w:tmpl w:val="05D06C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71D3A08"/>
    <w:multiLevelType w:val="hybridMultilevel"/>
    <w:tmpl w:val="68D631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42290D"/>
    <w:multiLevelType w:val="hybridMultilevel"/>
    <w:tmpl w:val="385A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B5BF4"/>
    <w:multiLevelType w:val="hybridMultilevel"/>
    <w:tmpl w:val="C26A017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582AE4"/>
    <w:multiLevelType w:val="hybridMultilevel"/>
    <w:tmpl w:val="38743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75D33"/>
    <w:multiLevelType w:val="hybridMultilevel"/>
    <w:tmpl w:val="74E8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0961DC"/>
    <w:multiLevelType w:val="hybridMultilevel"/>
    <w:tmpl w:val="218EBC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62D60764"/>
    <w:multiLevelType w:val="hybridMultilevel"/>
    <w:tmpl w:val="718C7CE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6B8B020C"/>
    <w:multiLevelType w:val="hybridMultilevel"/>
    <w:tmpl w:val="61022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3178877">
    <w:abstractNumId w:val="5"/>
  </w:num>
  <w:num w:numId="2" w16cid:durableId="1267425068">
    <w:abstractNumId w:val="0"/>
  </w:num>
  <w:num w:numId="3" w16cid:durableId="1454861951">
    <w:abstractNumId w:val="6"/>
  </w:num>
  <w:num w:numId="4" w16cid:durableId="1869833200">
    <w:abstractNumId w:val="4"/>
  </w:num>
  <w:num w:numId="5" w16cid:durableId="1980183881">
    <w:abstractNumId w:val="7"/>
  </w:num>
  <w:num w:numId="6" w16cid:durableId="416943211">
    <w:abstractNumId w:val="3"/>
  </w:num>
  <w:num w:numId="7" w16cid:durableId="523133765">
    <w:abstractNumId w:val="2"/>
  </w:num>
  <w:num w:numId="8" w16cid:durableId="66926355">
    <w:abstractNumId w:val="1"/>
  </w:num>
  <w:num w:numId="9" w16cid:durableId="695809494">
    <w:abstractNumId w:val="8"/>
  </w:num>
  <w:num w:numId="10" w16cid:durableId="735468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D"/>
    <w:rsid w:val="00035DC1"/>
    <w:rsid w:val="00052223"/>
    <w:rsid w:val="00054306"/>
    <w:rsid w:val="000552DF"/>
    <w:rsid w:val="00057924"/>
    <w:rsid w:val="00084960"/>
    <w:rsid w:val="00087385"/>
    <w:rsid w:val="0009032C"/>
    <w:rsid w:val="000A3C9A"/>
    <w:rsid w:val="000A64DF"/>
    <w:rsid w:val="000C648F"/>
    <w:rsid w:val="000C66E1"/>
    <w:rsid w:val="000E0AD8"/>
    <w:rsid w:val="000E329B"/>
    <w:rsid w:val="00107F83"/>
    <w:rsid w:val="00116AE8"/>
    <w:rsid w:val="00132B58"/>
    <w:rsid w:val="00157A6D"/>
    <w:rsid w:val="00161264"/>
    <w:rsid w:val="00167CB4"/>
    <w:rsid w:val="00175A92"/>
    <w:rsid w:val="00180E2A"/>
    <w:rsid w:val="001A1332"/>
    <w:rsid w:val="001A32C2"/>
    <w:rsid w:val="001A3986"/>
    <w:rsid w:val="001E226B"/>
    <w:rsid w:val="001E52B0"/>
    <w:rsid w:val="001E717D"/>
    <w:rsid w:val="001F690D"/>
    <w:rsid w:val="00202597"/>
    <w:rsid w:val="002044C7"/>
    <w:rsid w:val="00211081"/>
    <w:rsid w:val="002131DC"/>
    <w:rsid w:val="00226F51"/>
    <w:rsid w:val="0023471C"/>
    <w:rsid w:val="00235A82"/>
    <w:rsid w:val="00236DCC"/>
    <w:rsid w:val="002421C5"/>
    <w:rsid w:val="002427C8"/>
    <w:rsid w:val="002556AE"/>
    <w:rsid w:val="002556DD"/>
    <w:rsid w:val="00263326"/>
    <w:rsid w:val="00267A41"/>
    <w:rsid w:val="00283913"/>
    <w:rsid w:val="0029260B"/>
    <w:rsid w:val="00295593"/>
    <w:rsid w:val="002C2460"/>
    <w:rsid w:val="002E3FF9"/>
    <w:rsid w:val="002E6145"/>
    <w:rsid w:val="002E6382"/>
    <w:rsid w:val="002F082F"/>
    <w:rsid w:val="00301CA2"/>
    <w:rsid w:val="003041D4"/>
    <w:rsid w:val="00304E6B"/>
    <w:rsid w:val="00332C72"/>
    <w:rsid w:val="00334019"/>
    <w:rsid w:val="003359A4"/>
    <w:rsid w:val="00340B5C"/>
    <w:rsid w:val="00343A7D"/>
    <w:rsid w:val="00362B06"/>
    <w:rsid w:val="0037102D"/>
    <w:rsid w:val="00376BE8"/>
    <w:rsid w:val="00385D21"/>
    <w:rsid w:val="003905EB"/>
    <w:rsid w:val="00391093"/>
    <w:rsid w:val="0039486D"/>
    <w:rsid w:val="00396E6D"/>
    <w:rsid w:val="003A0CBB"/>
    <w:rsid w:val="003B39EC"/>
    <w:rsid w:val="003B566D"/>
    <w:rsid w:val="003F71C3"/>
    <w:rsid w:val="00410647"/>
    <w:rsid w:val="004260E9"/>
    <w:rsid w:val="0043281C"/>
    <w:rsid w:val="004360B5"/>
    <w:rsid w:val="00457D19"/>
    <w:rsid w:val="00465FBB"/>
    <w:rsid w:val="0047228D"/>
    <w:rsid w:val="004815B0"/>
    <w:rsid w:val="004953EA"/>
    <w:rsid w:val="004A0275"/>
    <w:rsid w:val="004A6B99"/>
    <w:rsid w:val="004B6247"/>
    <w:rsid w:val="004D398A"/>
    <w:rsid w:val="004E1C19"/>
    <w:rsid w:val="004F0CC1"/>
    <w:rsid w:val="004F7898"/>
    <w:rsid w:val="005005E0"/>
    <w:rsid w:val="0052126A"/>
    <w:rsid w:val="00521B2A"/>
    <w:rsid w:val="00523741"/>
    <w:rsid w:val="00533D8C"/>
    <w:rsid w:val="005431F0"/>
    <w:rsid w:val="00544EAC"/>
    <w:rsid w:val="00560484"/>
    <w:rsid w:val="00566133"/>
    <w:rsid w:val="00567F01"/>
    <w:rsid w:val="00587A66"/>
    <w:rsid w:val="00594B8A"/>
    <w:rsid w:val="005D5A6C"/>
    <w:rsid w:val="005E1545"/>
    <w:rsid w:val="005E2D5B"/>
    <w:rsid w:val="006054FD"/>
    <w:rsid w:val="00611929"/>
    <w:rsid w:val="0061527F"/>
    <w:rsid w:val="006162B9"/>
    <w:rsid w:val="0064398E"/>
    <w:rsid w:val="00651AE5"/>
    <w:rsid w:val="00667F2F"/>
    <w:rsid w:val="00682CD7"/>
    <w:rsid w:val="00690336"/>
    <w:rsid w:val="006926C6"/>
    <w:rsid w:val="00696970"/>
    <w:rsid w:val="006A3015"/>
    <w:rsid w:val="006C18E2"/>
    <w:rsid w:val="006C79AA"/>
    <w:rsid w:val="006E0A20"/>
    <w:rsid w:val="006E2608"/>
    <w:rsid w:val="006E41D4"/>
    <w:rsid w:val="006F068D"/>
    <w:rsid w:val="006F7FAA"/>
    <w:rsid w:val="00703A34"/>
    <w:rsid w:val="00715D11"/>
    <w:rsid w:val="00717F27"/>
    <w:rsid w:val="00743D1C"/>
    <w:rsid w:val="0076314D"/>
    <w:rsid w:val="00766416"/>
    <w:rsid w:val="00774D92"/>
    <w:rsid w:val="007812B2"/>
    <w:rsid w:val="00787F80"/>
    <w:rsid w:val="00795B07"/>
    <w:rsid w:val="007C6CC3"/>
    <w:rsid w:val="007D0DE2"/>
    <w:rsid w:val="007D488E"/>
    <w:rsid w:val="007D78AB"/>
    <w:rsid w:val="007E1C87"/>
    <w:rsid w:val="007F16BE"/>
    <w:rsid w:val="007F7A37"/>
    <w:rsid w:val="008058DF"/>
    <w:rsid w:val="008168FE"/>
    <w:rsid w:val="0082267B"/>
    <w:rsid w:val="008466C3"/>
    <w:rsid w:val="00850CE7"/>
    <w:rsid w:val="00863AEC"/>
    <w:rsid w:val="00872961"/>
    <w:rsid w:val="00880208"/>
    <w:rsid w:val="0088231A"/>
    <w:rsid w:val="00892B1B"/>
    <w:rsid w:val="008964B6"/>
    <w:rsid w:val="008A72CE"/>
    <w:rsid w:val="008B0329"/>
    <w:rsid w:val="008B12F4"/>
    <w:rsid w:val="008B769C"/>
    <w:rsid w:val="008D68CD"/>
    <w:rsid w:val="008E5C29"/>
    <w:rsid w:val="00902DCB"/>
    <w:rsid w:val="00903F2C"/>
    <w:rsid w:val="00914384"/>
    <w:rsid w:val="00917CB0"/>
    <w:rsid w:val="00934BB4"/>
    <w:rsid w:val="00937186"/>
    <w:rsid w:val="00942C42"/>
    <w:rsid w:val="009473A6"/>
    <w:rsid w:val="0095218E"/>
    <w:rsid w:val="00952CEC"/>
    <w:rsid w:val="00953F3F"/>
    <w:rsid w:val="00970738"/>
    <w:rsid w:val="00977B9C"/>
    <w:rsid w:val="00983407"/>
    <w:rsid w:val="00990B20"/>
    <w:rsid w:val="009B6240"/>
    <w:rsid w:val="009C0392"/>
    <w:rsid w:val="009C04E7"/>
    <w:rsid w:val="009C0FE9"/>
    <w:rsid w:val="009D0E6C"/>
    <w:rsid w:val="009D4A4A"/>
    <w:rsid w:val="009E0CCC"/>
    <w:rsid w:val="009E26DE"/>
    <w:rsid w:val="009E5B23"/>
    <w:rsid w:val="009F34CF"/>
    <w:rsid w:val="00A2459F"/>
    <w:rsid w:val="00A24C88"/>
    <w:rsid w:val="00A31888"/>
    <w:rsid w:val="00A33A2F"/>
    <w:rsid w:val="00A3497C"/>
    <w:rsid w:val="00A3638B"/>
    <w:rsid w:val="00A570F7"/>
    <w:rsid w:val="00A6399B"/>
    <w:rsid w:val="00A733A2"/>
    <w:rsid w:val="00A90424"/>
    <w:rsid w:val="00AA0743"/>
    <w:rsid w:val="00AA1977"/>
    <w:rsid w:val="00AD7EA5"/>
    <w:rsid w:val="00AE41BC"/>
    <w:rsid w:val="00B002F8"/>
    <w:rsid w:val="00B033AF"/>
    <w:rsid w:val="00B05254"/>
    <w:rsid w:val="00B13829"/>
    <w:rsid w:val="00B167B5"/>
    <w:rsid w:val="00B41C4F"/>
    <w:rsid w:val="00B743C7"/>
    <w:rsid w:val="00B7564D"/>
    <w:rsid w:val="00B77477"/>
    <w:rsid w:val="00B77A93"/>
    <w:rsid w:val="00B81C7D"/>
    <w:rsid w:val="00B87722"/>
    <w:rsid w:val="00B91813"/>
    <w:rsid w:val="00B918CF"/>
    <w:rsid w:val="00BA2C83"/>
    <w:rsid w:val="00BB1C06"/>
    <w:rsid w:val="00BC7A8D"/>
    <w:rsid w:val="00BF49EA"/>
    <w:rsid w:val="00C051B3"/>
    <w:rsid w:val="00C114F8"/>
    <w:rsid w:val="00C136B9"/>
    <w:rsid w:val="00C13987"/>
    <w:rsid w:val="00C206B6"/>
    <w:rsid w:val="00C214F3"/>
    <w:rsid w:val="00C42CBB"/>
    <w:rsid w:val="00C5304A"/>
    <w:rsid w:val="00C6036C"/>
    <w:rsid w:val="00C61C67"/>
    <w:rsid w:val="00C6730C"/>
    <w:rsid w:val="00C961F9"/>
    <w:rsid w:val="00CA5748"/>
    <w:rsid w:val="00CB5FD5"/>
    <w:rsid w:val="00CC2239"/>
    <w:rsid w:val="00CC3B53"/>
    <w:rsid w:val="00CD0FD3"/>
    <w:rsid w:val="00CE2047"/>
    <w:rsid w:val="00CE2C83"/>
    <w:rsid w:val="00CE46E6"/>
    <w:rsid w:val="00CF0ADD"/>
    <w:rsid w:val="00D00E21"/>
    <w:rsid w:val="00D1079C"/>
    <w:rsid w:val="00D1607F"/>
    <w:rsid w:val="00D17810"/>
    <w:rsid w:val="00D24E27"/>
    <w:rsid w:val="00D33D8F"/>
    <w:rsid w:val="00D36A4A"/>
    <w:rsid w:val="00D63698"/>
    <w:rsid w:val="00D66925"/>
    <w:rsid w:val="00D8435D"/>
    <w:rsid w:val="00D9552D"/>
    <w:rsid w:val="00DA3D2B"/>
    <w:rsid w:val="00DC3A69"/>
    <w:rsid w:val="00DE45E9"/>
    <w:rsid w:val="00DE761D"/>
    <w:rsid w:val="00DF7C8A"/>
    <w:rsid w:val="00E06CBD"/>
    <w:rsid w:val="00E46221"/>
    <w:rsid w:val="00E47FD9"/>
    <w:rsid w:val="00E600B4"/>
    <w:rsid w:val="00E64ED4"/>
    <w:rsid w:val="00E65561"/>
    <w:rsid w:val="00E655CF"/>
    <w:rsid w:val="00E66579"/>
    <w:rsid w:val="00E7706D"/>
    <w:rsid w:val="00E80796"/>
    <w:rsid w:val="00E93374"/>
    <w:rsid w:val="00EC5CD7"/>
    <w:rsid w:val="00EE3AFF"/>
    <w:rsid w:val="00EF3CDF"/>
    <w:rsid w:val="00EF5BA3"/>
    <w:rsid w:val="00F0097E"/>
    <w:rsid w:val="00F041E8"/>
    <w:rsid w:val="00F2257D"/>
    <w:rsid w:val="00F30F17"/>
    <w:rsid w:val="00F502C6"/>
    <w:rsid w:val="00F52402"/>
    <w:rsid w:val="00F86DE3"/>
    <w:rsid w:val="00F92FA4"/>
    <w:rsid w:val="00F94D69"/>
    <w:rsid w:val="00FA6056"/>
    <w:rsid w:val="00FC4DC4"/>
    <w:rsid w:val="00FD464A"/>
    <w:rsid w:val="00FE1563"/>
    <w:rsid w:val="5AA9D1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27BB"/>
  <w15:chartTrackingRefBased/>
  <w15:docId w15:val="{06555CA8-E1C4-40B3-BF4E-D87791D0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64D"/>
    <w:rPr>
      <w:rFonts w:ascii="Segoe UI" w:hAnsi="Segoe UI" w:cs="Segoe UI"/>
      <w:sz w:val="18"/>
      <w:szCs w:val="18"/>
    </w:rPr>
  </w:style>
  <w:style w:type="paragraph" w:styleId="ListParagraph">
    <w:name w:val="List Paragraph"/>
    <w:basedOn w:val="Normal"/>
    <w:uiPriority w:val="34"/>
    <w:qFormat/>
    <w:rsid w:val="00F0097E"/>
    <w:pPr>
      <w:ind w:left="720"/>
      <w:contextualSpacing/>
    </w:pPr>
  </w:style>
  <w:style w:type="character" w:styleId="Hyperlink">
    <w:name w:val="Hyperlink"/>
    <w:basedOn w:val="DefaultParagraphFont"/>
    <w:uiPriority w:val="99"/>
    <w:unhideWhenUsed/>
    <w:rsid w:val="001E52B0"/>
    <w:rPr>
      <w:color w:val="0563C1" w:themeColor="hyperlink"/>
      <w:u w:val="single"/>
    </w:rPr>
  </w:style>
  <w:style w:type="character" w:styleId="UnresolvedMention">
    <w:name w:val="Unresolved Mention"/>
    <w:basedOn w:val="DefaultParagraphFont"/>
    <w:uiPriority w:val="99"/>
    <w:semiHidden/>
    <w:unhideWhenUsed/>
    <w:rsid w:val="001E52B0"/>
    <w:rPr>
      <w:color w:val="605E5C"/>
      <w:shd w:val="clear" w:color="auto" w:fill="E1DFDD"/>
    </w:rPr>
  </w:style>
  <w:style w:type="paragraph" w:styleId="NormalWeb">
    <w:name w:val="Normal (Web)"/>
    <w:basedOn w:val="Normal"/>
    <w:uiPriority w:val="99"/>
    <w:semiHidden/>
    <w:unhideWhenUsed/>
    <w:rsid w:val="007D48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E2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8562">
      <w:bodyDiv w:val="1"/>
      <w:marLeft w:val="0"/>
      <w:marRight w:val="0"/>
      <w:marTop w:val="0"/>
      <w:marBottom w:val="0"/>
      <w:divBdr>
        <w:top w:val="none" w:sz="0" w:space="0" w:color="auto"/>
        <w:left w:val="none" w:sz="0" w:space="0" w:color="auto"/>
        <w:bottom w:val="none" w:sz="0" w:space="0" w:color="auto"/>
        <w:right w:val="none" w:sz="0" w:space="0" w:color="auto"/>
      </w:divBdr>
    </w:div>
    <w:div w:id="84572304">
      <w:bodyDiv w:val="1"/>
      <w:marLeft w:val="0"/>
      <w:marRight w:val="0"/>
      <w:marTop w:val="0"/>
      <w:marBottom w:val="0"/>
      <w:divBdr>
        <w:top w:val="none" w:sz="0" w:space="0" w:color="auto"/>
        <w:left w:val="none" w:sz="0" w:space="0" w:color="auto"/>
        <w:bottom w:val="none" w:sz="0" w:space="0" w:color="auto"/>
        <w:right w:val="none" w:sz="0" w:space="0" w:color="auto"/>
      </w:divBdr>
    </w:div>
    <w:div w:id="162822402">
      <w:bodyDiv w:val="1"/>
      <w:marLeft w:val="0"/>
      <w:marRight w:val="0"/>
      <w:marTop w:val="0"/>
      <w:marBottom w:val="0"/>
      <w:divBdr>
        <w:top w:val="none" w:sz="0" w:space="0" w:color="auto"/>
        <w:left w:val="none" w:sz="0" w:space="0" w:color="auto"/>
        <w:bottom w:val="none" w:sz="0" w:space="0" w:color="auto"/>
        <w:right w:val="none" w:sz="0" w:space="0" w:color="auto"/>
      </w:divBdr>
    </w:div>
    <w:div w:id="167790761">
      <w:bodyDiv w:val="1"/>
      <w:marLeft w:val="0"/>
      <w:marRight w:val="0"/>
      <w:marTop w:val="0"/>
      <w:marBottom w:val="0"/>
      <w:divBdr>
        <w:top w:val="none" w:sz="0" w:space="0" w:color="auto"/>
        <w:left w:val="none" w:sz="0" w:space="0" w:color="auto"/>
        <w:bottom w:val="none" w:sz="0" w:space="0" w:color="auto"/>
        <w:right w:val="none" w:sz="0" w:space="0" w:color="auto"/>
      </w:divBdr>
    </w:div>
    <w:div w:id="189799448">
      <w:bodyDiv w:val="1"/>
      <w:marLeft w:val="0"/>
      <w:marRight w:val="0"/>
      <w:marTop w:val="0"/>
      <w:marBottom w:val="0"/>
      <w:divBdr>
        <w:top w:val="none" w:sz="0" w:space="0" w:color="auto"/>
        <w:left w:val="none" w:sz="0" w:space="0" w:color="auto"/>
        <w:bottom w:val="none" w:sz="0" w:space="0" w:color="auto"/>
        <w:right w:val="none" w:sz="0" w:space="0" w:color="auto"/>
      </w:divBdr>
    </w:div>
    <w:div w:id="231627271">
      <w:bodyDiv w:val="1"/>
      <w:marLeft w:val="0"/>
      <w:marRight w:val="0"/>
      <w:marTop w:val="0"/>
      <w:marBottom w:val="0"/>
      <w:divBdr>
        <w:top w:val="none" w:sz="0" w:space="0" w:color="auto"/>
        <w:left w:val="none" w:sz="0" w:space="0" w:color="auto"/>
        <w:bottom w:val="none" w:sz="0" w:space="0" w:color="auto"/>
        <w:right w:val="none" w:sz="0" w:space="0" w:color="auto"/>
      </w:divBdr>
    </w:div>
    <w:div w:id="259484344">
      <w:bodyDiv w:val="1"/>
      <w:marLeft w:val="0"/>
      <w:marRight w:val="0"/>
      <w:marTop w:val="0"/>
      <w:marBottom w:val="0"/>
      <w:divBdr>
        <w:top w:val="none" w:sz="0" w:space="0" w:color="auto"/>
        <w:left w:val="none" w:sz="0" w:space="0" w:color="auto"/>
        <w:bottom w:val="none" w:sz="0" w:space="0" w:color="auto"/>
        <w:right w:val="none" w:sz="0" w:space="0" w:color="auto"/>
      </w:divBdr>
    </w:div>
    <w:div w:id="271322363">
      <w:bodyDiv w:val="1"/>
      <w:marLeft w:val="0"/>
      <w:marRight w:val="0"/>
      <w:marTop w:val="0"/>
      <w:marBottom w:val="0"/>
      <w:divBdr>
        <w:top w:val="none" w:sz="0" w:space="0" w:color="auto"/>
        <w:left w:val="none" w:sz="0" w:space="0" w:color="auto"/>
        <w:bottom w:val="none" w:sz="0" w:space="0" w:color="auto"/>
        <w:right w:val="none" w:sz="0" w:space="0" w:color="auto"/>
      </w:divBdr>
    </w:div>
    <w:div w:id="312178955">
      <w:bodyDiv w:val="1"/>
      <w:marLeft w:val="0"/>
      <w:marRight w:val="0"/>
      <w:marTop w:val="0"/>
      <w:marBottom w:val="0"/>
      <w:divBdr>
        <w:top w:val="none" w:sz="0" w:space="0" w:color="auto"/>
        <w:left w:val="none" w:sz="0" w:space="0" w:color="auto"/>
        <w:bottom w:val="none" w:sz="0" w:space="0" w:color="auto"/>
        <w:right w:val="none" w:sz="0" w:space="0" w:color="auto"/>
      </w:divBdr>
    </w:div>
    <w:div w:id="328876599">
      <w:bodyDiv w:val="1"/>
      <w:marLeft w:val="0"/>
      <w:marRight w:val="0"/>
      <w:marTop w:val="0"/>
      <w:marBottom w:val="0"/>
      <w:divBdr>
        <w:top w:val="none" w:sz="0" w:space="0" w:color="auto"/>
        <w:left w:val="none" w:sz="0" w:space="0" w:color="auto"/>
        <w:bottom w:val="none" w:sz="0" w:space="0" w:color="auto"/>
        <w:right w:val="none" w:sz="0" w:space="0" w:color="auto"/>
      </w:divBdr>
    </w:div>
    <w:div w:id="448357732">
      <w:bodyDiv w:val="1"/>
      <w:marLeft w:val="0"/>
      <w:marRight w:val="0"/>
      <w:marTop w:val="0"/>
      <w:marBottom w:val="0"/>
      <w:divBdr>
        <w:top w:val="none" w:sz="0" w:space="0" w:color="auto"/>
        <w:left w:val="none" w:sz="0" w:space="0" w:color="auto"/>
        <w:bottom w:val="none" w:sz="0" w:space="0" w:color="auto"/>
        <w:right w:val="none" w:sz="0" w:space="0" w:color="auto"/>
      </w:divBdr>
    </w:div>
    <w:div w:id="470248124">
      <w:bodyDiv w:val="1"/>
      <w:marLeft w:val="0"/>
      <w:marRight w:val="0"/>
      <w:marTop w:val="0"/>
      <w:marBottom w:val="0"/>
      <w:divBdr>
        <w:top w:val="none" w:sz="0" w:space="0" w:color="auto"/>
        <w:left w:val="none" w:sz="0" w:space="0" w:color="auto"/>
        <w:bottom w:val="none" w:sz="0" w:space="0" w:color="auto"/>
        <w:right w:val="none" w:sz="0" w:space="0" w:color="auto"/>
      </w:divBdr>
    </w:div>
    <w:div w:id="499857838">
      <w:bodyDiv w:val="1"/>
      <w:marLeft w:val="0"/>
      <w:marRight w:val="0"/>
      <w:marTop w:val="0"/>
      <w:marBottom w:val="0"/>
      <w:divBdr>
        <w:top w:val="none" w:sz="0" w:space="0" w:color="auto"/>
        <w:left w:val="none" w:sz="0" w:space="0" w:color="auto"/>
        <w:bottom w:val="none" w:sz="0" w:space="0" w:color="auto"/>
        <w:right w:val="none" w:sz="0" w:space="0" w:color="auto"/>
      </w:divBdr>
    </w:div>
    <w:div w:id="559679347">
      <w:bodyDiv w:val="1"/>
      <w:marLeft w:val="0"/>
      <w:marRight w:val="0"/>
      <w:marTop w:val="0"/>
      <w:marBottom w:val="0"/>
      <w:divBdr>
        <w:top w:val="none" w:sz="0" w:space="0" w:color="auto"/>
        <w:left w:val="none" w:sz="0" w:space="0" w:color="auto"/>
        <w:bottom w:val="none" w:sz="0" w:space="0" w:color="auto"/>
        <w:right w:val="none" w:sz="0" w:space="0" w:color="auto"/>
      </w:divBdr>
    </w:div>
    <w:div w:id="646082540">
      <w:bodyDiv w:val="1"/>
      <w:marLeft w:val="0"/>
      <w:marRight w:val="0"/>
      <w:marTop w:val="0"/>
      <w:marBottom w:val="0"/>
      <w:divBdr>
        <w:top w:val="none" w:sz="0" w:space="0" w:color="auto"/>
        <w:left w:val="none" w:sz="0" w:space="0" w:color="auto"/>
        <w:bottom w:val="none" w:sz="0" w:space="0" w:color="auto"/>
        <w:right w:val="none" w:sz="0" w:space="0" w:color="auto"/>
      </w:divBdr>
    </w:div>
    <w:div w:id="707725644">
      <w:bodyDiv w:val="1"/>
      <w:marLeft w:val="0"/>
      <w:marRight w:val="0"/>
      <w:marTop w:val="0"/>
      <w:marBottom w:val="0"/>
      <w:divBdr>
        <w:top w:val="none" w:sz="0" w:space="0" w:color="auto"/>
        <w:left w:val="none" w:sz="0" w:space="0" w:color="auto"/>
        <w:bottom w:val="none" w:sz="0" w:space="0" w:color="auto"/>
        <w:right w:val="none" w:sz="0" w:space="0" w:color="auto"/>
      </w:divBdr>
    </w:div>
    <w:div w:id="804935967">
      <w:bodyDiv w:val="1"/>
      <w:marLeft w:val="0"/>
      <w:marRight w:val="0"/>
      <w:marTop w:val="0"/>
      <w:marBottom w:val="0"/>
      <w:divBdr>
        <w:top w:val="none" w:sz="0" w:space="0" w:color="auto"/>
        <w:left w:val="none" w:sz="0" w:space="0" w:color="auto"/>
        <w:bottom w:val="none" w:sz="0" w:space="0" w:color="auto"/>
        <w:right w:val="none" w:sz="0" w:space="0" w:color="auto"/>
      </w:divBdr>
    </w:div>
    <w:div w:id="813178635">
      <w:bodyDiv w:val="1"/>
      <w:marLeft w:val="0"/>
      <w:marRight w:val="0"/>
      <w:marTop w:val="0"/>
      <w:marBottom w:val="0"/>
      <w:divBdr>
        <w:top w:val="none" w:sz="0" w:space="0" w:color="auto"/>
        <w:left w:val="none" w:sz="0" w:space="0" w:color="auto"/>
        <w:bottom w:val="none" w:sz="0" w:space="0" w:color="auto"/>
        <w:right w:val="none" w:sz="0" w:space="0" w:color="auto"/>
      </w:divBdr>
    </w:div>
    <w:div w:id="916670708">
      <w:bodyDiv w:val="1"/>
      <w:marLeft w:val="0"/>
      <w:marRight w:val="0"/>
      <w:marTop w:val="0"/>
      <w:marBottom w:val="0"/>
      <w:divBdr>
        <w:top w:val="none" w:sz="0" w:space="0" w:color="auto"/>
        <w:left w:val="none" w:sz="0" w:space="0" w:color="auto"/>
        <w:bottom w:val="none" w:sz="0" w:space="0" w:color="auto"/>
        <w:right w:val="none" w:sz="0" w:space="0" w:color="auto"/>
      </w:divBdr>
    </w:div>
    <w:div w:id="988940343">
      <w:bodyDiv w:val="1"/>
      <w:marLeft w:val="0"/>
      <w:marRight w:val="0"/>
      <w:marTop w:val="0"/>
      <w:marBottom w:val="0"/>
      <w:divBdr>
        <w:top w:val="none" w:sz="0" w:space="0" w:color="auto"/>
        <w:left w:val="none" w:sz="0" w:space="0" w:color="auto"/>
        <w:bottom w:val="none" w:sz="0" w:space="0" w:color="auto"/>
        <w:right w:val="none" w:sz="0" w:space="0" w:color="auto"/>
      </w:divBdr>
    </w:div>
    <w:div w:id="995955622">
      <w:bodyDiv w:val="1"/>
      <w:marLeft w:val="0"/>
      <w:marRight w:val="0"/>
      <w:marTop w:val="0"/>
      <w:marBottom w:val="0"/>
      <w:divBdr>
        <w:top w:val="none" w:sz="0" w:space="0" w:color="auto"/>
        <w:left w:val="none" w:sz="0" w:space="0" w:color="auto"/>
        <w:bottom w:val="none" w:sz="0" w:space="0" w:color="auto"/>
        <w:right w:val="none" w:sz="0" w:space="0" w:color="auto"/>
      </w:divBdr>
    </w:div>
    <w:div w:id="1096949153">
      <w:bodyDiv w:val="1"/>
      <w:marLeft w:val="0"/>
      <w:marRight w:val="0"/>
      <w:marTop w:val="0"/>
      <w:marBottom w:val="0"/>
      <w:divBdr>
        <w:top w:val="none" w:sz="0" w:space="0" w:color="auto"/>
        <w:left w:val="none" w:sz="0" w:space="0" w:color="auto"/>
        <w:bottom w:val="none" w:sz="0" w:space="0" w:color="auto"/>
        <w:right w:val="none" w:sz="0" w:space="0" w:color="auto"/>
      </w:divBdr>
    </w:div>
    <w:div w:id="1102191509">
      <w:bodyDiv w:val="1"/>
      <w:marLeft w:val="0"/>
      <w:marRight w:val="0"/>
      <w:marTop w:val="0"/>
      <w:marBottom w:val="0"/>
      <w:divBdr>
        <w:top w:val="none" w:sz="0" w:space="0" w:color="auto"/>
        <w:left w:val="none" w:sz="0" w:space="0" w:color="auto"/>
        <w:bottom w:val="none" w:sz="0" w:space="0" w:color="auto"/>
        <w:right w:val="none" w:sz="0" w:space="0" w:color="auto"/>
      </w:divBdr>
    </w:div>
    <w:div w:id="1108233301">
      <w:bodyDiv w:val="1"/>
      <w:marLeft w:val="0"/>
      <w:marRight w:val="0"/>
      <w:marTop w:val="0"/>
      <w:marBottom w:val="0"/>
      <w:divBdr>
        <w:top w:val="none" w:sz="0" w:space="0" w:color="auto"/>
        <w:left w:val="none" w:sz="0" w:space="0" w:color="auto"/>
        <w:bottom w:val="none" w:sz="0" w:space="0" w:color="auto"/>
        <w:right w:val="none" w:sz="0" w:space="0" w:color="auto"/>
      </w:divBdr>
    </w:div>
    <w:div w:id="1199322653">
      <w:bodyDiv w:val="1"/>
      <w:marLeft w:val="0"/>
      <w:marRight w:val="0"/>
      <w:marTop w:val="0"/>
      <w:marBottom w:val="0"/>
      <w:divBdr>
        <w:top w:val="none" w:sz="0" w:space="0" w:color="auto"/>
        <w:left w:val="none" w:sz="0" w:space="0" w:color="auto"/>
        <w:bottom w:val="none" w:sz="0" w:space="0" w:color="auto"/>
        <w:right w:val="none" w:sz="0" w:space="0" w:color="auto"/>
      </w:divBdr>
    </w:div>
    <w:div w:id="1213225215">
      <w:bodyDiv w:val="1"/>
      <w:marLeft w:val="0"/>
      <w:marRight w:val="0"/>
      <w:marTop w:val="0"/>
      <w:marBottom w:val="0"/>
      <w:divBdr>
        <w:top w:val="none" w:sz="0" w:space="0" w:color="auto"/>
        <w:left w:val="none" w:sz="0" w:space="0" w:color="auto"/>
        <w:bottom w:val="none" w:sz="0" w:space="0" w:color="auto"/>
        <w:right w:val="none" w:sz="0" w:space="0" w:color="auto"/>
      </w:divBdr>
    </w:div>
    <w:div w:id="1224680805">
      <w:bodyDiv w:val="1"/>
      <w:marLeft w:val="0"/>
      <w:marRight w:val="0"/>
      <w:marTop w:val="0"/>
      <w:marBottom w:val="0"/>
      <w:divBdr>
        <w:top w:val="none" w:sz="0" w:space="0" w:color="auto"/>
        <w:left w:val="none" w:sz="0" w:space="0" w:color="auto"/>
        <w:bottom w:val="none" w:sz="0" w:space="0" w:color="auto"/>
        <w:right w:val="none" w:sz="0" w:space="0" w:color="auto"/>
      </w:divBdr>
    </w:div>
    <w:div w:id="1260869551">
      <w:bodyDiv w:val="1"/>
      <w:marLeft w:val="0"/>
      <w:marRight w:val="0"/>
      <w:marTop w:val="0"/>
      <w:marBottom w:val="0"/>
      <w:divBdr>
        <w:top w:val="none" w:sz="0" w:space="0" w:color="auto"/>
        <w:left w:val="none" w:sz="0" w:space="0" w:color="auto"/>
        <w:bottom w:val="none" w:sz="0" w:space="0" w:color="auto"/>
        <w:right w:val="none" w:sz="0" w:space="0" w:color="auto"/>
      </w:divBdr>
    </w:div>
    <w:div w:id="1289976039">
      <w:bodyDiv w:val="1"/>
      <w:marLeft w:val="0"/>
      <w:marRight w:val="0"/>
      <w:marTop w:val="0"/>
      <w:marBottom w:val="0"/>
      <w:divBdr>
        <w:top w:val="none" w:sz="0" w:space="0" w:color="auto"/>
        <w:left w:val="none" w:sz="0" w:space="0" w:color="auto"/>
        <w:bottom w:val="none" w:sz="0" w:space="0" w:color="auto"/>
        <w:right w:val="none" w:sz="0" w:space="0" w:color="auto"/>
      </w:divBdr>
    </w:div>
    <w:div w:id="1487554040">
      <w:bodyDiv w:val="1"/>
      <w:marLeft w:val="0"/>
      <w:marRight w:val="0"/>
      <w:marTop w:val="0"/>
      <w:marBottom w:val="0"/>
      <w:divBdr>
        <w:top w:val="none" w:sz="0" w:space="0" w:color="auto"/>
        <w:left w:val="none" w:sz="0" w:space="0" w:color="auto"/>
        <w:bottom w:val="none" w:sz="0" w:space="0" w:color="auto"/>
        <w:right w:val="none" w:sz="0" w:space="0" w:color="auto"/>
      </w:divBdr>
    </w:div>
    <w:div w:id="1502040326">
      <w:bodyDiv w:val="1"/>
      <w:marLeft w:val="0"/>
      <w:marRight w:val="0"/>
      <w:marTop w:val="0"/>
      <w:marBottom w:val="0"/>
      <w:divBdr>
        <w:top w:val="none" w:sz="0" w:space="0" w:color="auto"/>
        <w:left w:val="none" w:sz="0" w:space="0" w:color="auto"/>
        <w:bottom w:val="none" w:sz="0" w:space="0" w:color="auto"/>
        <w:right w:val="none" w:sz="0" w:space="0" w:color="auto"/>
      </w:divBdr>
    </w:div>
    <w:div w:id="1557818594">
      <w:bodyDiv w:val="1"/>
      <w:marLeft w:val="0"/>
      <w:marRight w:val="0"/>
      <w:marTop w:val="0"/>
      <w:marBottom w:val="0"/>
      <w:divBdr>
        <w:top w:val="none" w:sz="0" w:space="0" w:color="auto"/>
        <w:left w:val="none" w:sz="0" w:space="0" w:color="auto"/>
        <w:bottom w:val="none" w:sz="0" w:space="0" w:color="auto"/>
        <w:right w:val="none" w:sz="0" w:space="0" w:color="auto"/>
      </w:divBdr>
    </w:div>
    <w:div w:id="1647008092">
      <w:bodyDiv w:val="1"/>
      <w:marLeft w:val="0"/>
      <w:marRight w:val="0"/>
      <w:marTop w:val="0"/>
      <w:marBottom w:val="0"/>
      <w:divBdr>
        <w:top w:val="none" w:sz="0" w:space="0" w:color="auto"/>
        <w:left w:val="none" w:sz="0" w:space="0" w:color="auto"/>
        <w:bottom w:val="none" w:sz="0" w:space="0" w:color="auto"/>
        <w:right w:val="none" w:sz="0" w:space="0" w:color="auto"/>
      </w:divBdr>
    </w:div>
    <w:div w:id="1735620129">
      <w:bodyDiv w:val="1"/>
      <w:marLeft w:val="0"/>
      <w:marRight w:val="0"/>
      <w:marTop w:val="0"/>
      <w:marBottom w:val="0"/>
      <w:divBdr>
        <w:top w:val="none" w:sz="0" w:space="0" w:color="auto"/>
        <w:left w:val="none" w:sz="0" w:space="0" w:color="auto"/>
        <w:bottom w:val="none" w:sz="0" w:space="0" w:color="auto"/>
        <w:right w:val="none" w:sz="0" w:space="0" w:color="auto"/>
      </w:divBdr>
    </w:div>
    <w:div w:id="1902476854">
      <w:bodyDiv w:val="1"/>
      <w:marLeft w:val="0"/>
      <w:marRight w:val="0"/>
      <w:marTop w:val="0"/>
      <w:marBottom w:val="0"/>
      <w:divBdr>
        <w:top w:val="none" w:sz="0" w:space="0" w:color="auto"/>
        <w:left w:val="none" w:sz="0" w:space="0" w:color="auto"/>
        <w:bottom w:val="none" w:sz="0" w:space="0" w:color="auto"/>
        <w:right w:val="none" w:sz="0" w:space="0" w:color="auto"/>
      </w:divBdr>
    </w:div>
    <w:div w:id="1927497396">
      <w:bodyDiv w:val="1"/>
      <w:marLeft w:val="0"/>
      <w:marRight w:val="0"/>
      <w:marTop w:val="0"/>
      <w:marBottom w:val="0"/>
      <w:divBdr>
        <w:top w:val="none" w:sz="0" w:space="0" w:color="auto"/>
        <w:left w:val="none" w:sz="0" w:space="0" w:color="auto"/>
        <w:bottom w:val="none" w:sz="0" w:space="0" w:color="auto"/>
        <w:right w:val="none" w:sz="0" w:space="0" w:color="auto"/>
      </w:divBdr>
    </w:div>
    <w:div w:id="1958294369">
      <w:bodyDiv w:val="1"/>
      <w:marLeft w:val="0"/>
      <w:marRight w:val="0"/>
      <w:marTop w:val="0"/>
      <w:marBottom w:val="0"/>
      <w:divBdr>
        <w:top w:val="none" w:sz="0" w:space="0" w:color="auto"/>
        <w:left w:val="none" w:sz="0" w:space="0" w:color="auto"/>
        <w:bottom w:val="none" w:sz="0" w:space="0" w:color="auto"/>
        <w:right w:val="none" w:sz="0" w:space="0" w:color="auto"/>
      </w:divBdr>
    </w:div>
    <w:div w:id="2022587025">
      <w:bodyDiv w:val="1"/>
      <w:marLeft w:val="0"/>
      <w:marRight w:val="0"/>
      <w:marTop w:val="0"/>
      <w:marBottom w:val="0"/>
      <w:divBdr>
        <w:top w:val="none" w:sz="0" w:space="0" w:color="auto"/>
        <w:left w:val="none" w:sz="0" w:space="0" w:color="auto"/>
        <w:bottom w:val="none" w:sz="0" w:space="0" w:color="auto"/>
        <w:right w:val="none" w:sz="0" w:space="0" w:color="auto"/>
      </w:divBdr>
    </w:div>
    <w:div w:id="2084641406">
      <w:bodyDiv w:val="1"/>
      <w:marLeft w:val="0"/>
      <w:marRight w:val="0"/>
      <w:marTop w:val="0"/>
      <w:marBottom w:val="0"/>
      <w:divBdr>
        <w:top w:val="none" w:sz="0" w:space="0" w:color="auto"/>
        <w:left w:val="none" w:sz="0" w:space="0" w:color="auto"/>
        <w:bottom w:val="none" w:sz="0" w:space="0" w:color="auto"/>
        <w:right w:val="none" w:sz="0" w:space="0" w:color="auto"/>
      </w:divBdr>
    </w:div>
    <w:div w:id="21026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adults.salford.gov.uk/professionals/persons-in-positions-of-trust-pipot-whistleblow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afeguardingadults.salford.gov.uk/professionals/escalation-policy-and-procedure/" TargetMode="External"/><Relationship Id="rId4" Type="http://schemas.openxmlformats.org/officeDocument/2006/relationships/numbering" Target="numbering.xml"/><Relationship Id="rId9" Type="http://schemas.openxmlformats.org/officeDocument/2006/relationships/hyperlink" Target="https://safeguardingadults.salford.gov.uk/media/w35dvecx/pipot-allegation-management-flowch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546E5C8AC1B4B84D014CB91F62AB8" ma:contentTypeVersion="13" ma:contentTypeDescription="Create a new document." ma:contentTypeScope="" ma:versionID="8b7694b28dcfda192780fd81990468a5">
  <xsd:schema xmlns:xsd="http://www.w3.org/2001/XMLSchema" xmlns:xs="http://www.w3.org/2001/XMLSchema" xmlns:p="http://schemas.microsoft.com/office/2006/metadata/properties" xmlns:ns2="24400cb7-d8a0-4236-8b20-190b6d4f0922" xmlns:ns3="71c87e99-277c-4fbb-9f89-93131cd5b960" targetNamespace="http://schemas.microsoft.com/office/2006/metadata/properties" ma:root="true" ma:fieldsID="da19d3c95dfdc5d702c5c22e61afa396" ns2:_="" ns3:_="">
    <xsd:import namespace="24400cb7-d8a0-4236-8b20-190b6d4f0922"/>
    <xsd:import namespace="71c87e99-277c-4fbb-9f89-93131cd5b9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00cb7-d8a0-4236-8b20-190b6d4f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87e99-277c-4fbb-9f89-93131cd5b9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649798-1c7f-49a2-aeb0-8568cdcff284}" ma:internalName="TaxCatchAll" ma:showField="CatchAllData" ma:web="71c87e99-277c-4fbb-9f89-93131cd5b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87e99-277c-4fbb-9f89-93131cd5b960" xsi:nil="true"/>
    <lcf76f155ced4ddcb4097134ff3c332f xmlns="24400cb7-d8a0-4236-8b20-190b6d4f09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1871-2740-4F55-A62F-5F0B9A6C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00cb7-d8a0-4236-8b20-190b6d4f0922"/>
    <ds:schemaRef ds:uri="71c87e99-277c-4fbb-9f89-93131cd5b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E4031-A86C-43E8-9844-6713AD83419D}">
  <ds:schemaRefs>
    <ds:schemaRef ds:uri="http://www.w3.org/XML/1998/namespace"/>
    <ds:schemaRef ds:uri="http://schemas.microsoft.com/office/2006/documentManagement/types"/>
    <ds:schemaRef ds:uri="http://schemas.openxmlformats.org/package/2006/metadata/core-properties"/>
    <ds:schemaRef ds:uri="24400cb7-d8a0-4236-8b20-190b6d4f0922"/>
    <ds:schemaRef ds:uri="http://purl.org/dc/dcmitype/"/>
    <ds:schemaRef ds:uri="http://purl.org/dc/terms/"/>
    <ds:schemaRef ds:uri="71c87e99-277c-4fbb-9f89-93131cd5b960"/>
    <ds:schemaRef ds:uri="http://schemas.microsoft.com/office/infopath/2007/PartnerControl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CA5C9331-4D11-402E-9D98-334827BDF06F}">
  <ds:schemaRefs>
    <ds:schemaRef ds:uri="http://schemas.microsoft.com/sharepoint/v3/contenttype/forms"/>
  </ds:schemaRefs>
</ds:datastoreItem>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3881</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Links>
    <vt:vector size="30" baseType="variant">
      <vt:variant>
        <vt:i4>5636190</vt:i4>
      </vt:variant>
      <vt:variant>
        <vt:i4>12</vt:i4>
      </vt:variant>
      <vt:variant>
        <vt:i4>0</vt:i4>
      </vt:variant>
      <vt:variant>
        <vt:i4>5</vt:i4>
      </vt:variant>
      <vt:variant>
        <vt:lpwstr>https://safeguardingadults.salford.gov.uk/professionals/escalation-policy-and-procedure/</vt:lpwstr>
      </vt:variant>
      <vt:variant>
        <vt:lpwstr/>
      </vt:variant>
      <vt:variant>
        <vt:i4>5570590</vt:i4>
      </vt:variant>
      <vt:variant>
        <vt:i4>9</vt:i4>
      </vt:variant>
      <vt:variant>
        <vt:i4>0</vt:i4>
      </vt:variant>
      <vt:variant>
        <vt:i4>5</vt:i4>
      </vt:variant>
      <vt:variant>
        <vt:lpwstr>https://safeguardingadults.salford.gov.uk/media/w35dvecx/pipot-allegation-management-flowchart-1.pdf</vt:lpwstr>
      </vt:variant>
      <vt:variant>
        <vt:lpwstr/>
      </vt:variant>
      <vt:variant>
        <vt:i4>7209016</vt:i4>
      </vt:variant>
      <vt:variant>
        <vt:i4>6</vt:i4>
      </vt:variant>
      <vt:variant>
        <vt:i4>0</vt:i4>
      </vt:variant>
      <vt:variant>
        <vt:i4>5</vt:i4>
      </vt:variant>
      <vt:variant>
        <vt:lpwstr>https://safeguardingadults.salford.gov.uk/media/qoyppbn0/ssab-7-mb-pipot-v2.pdf</vt:lpwstr>
      </vt:variant>
      <vt:variant>
        <vt:lpwstr/>
      </vt:variant>
      <vt:variant>
        <vt:i4>6422631</vt:i4>
      </vt:variant>
      <vt:variant>
        <vt:i4>3</vt:i4>
      </vt:variant>
      <vt:variant>
        <vt:i4>0</vt:i4>
      </vt:variant>
      <vt:variant>
        <vt:i4>5</vt:i4>
      </vt:variant>
      <vt:variant>
        <vt:lpwstr>https://safeguardingadults.salford.gov.uk/media/eosfb5pa/persons-in-position-of-trust-framework-final-updated-june-2025.pdf</vt:lpwstr>
      </vt:variant>
      <vt:variant>
        <vt:lpwstr/>
      </vt:variant>
      <vt:variant>
        <vt:i4>7995513</vt:i4>
      </vt:variant>
      <vt:variant>
        <vt:i4>0</vt:i4>
      </vt:variant>
      <vt:variant>
        <vt:i4>0</vt:i4>
      </vt:variant>
      <vt:variant>
        <vt:i4>5</vt:i4>
      </vt:variant>
      <vt:variant>
        <vt:lpwstr>https://safeguardingadults.salford.gov.uk/professionals/persons-in-positions-of-trust-pipot-whistleblowing/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Thornton</dc:creator>
  <cp:keywords/>
  <dc:description/>
  <cp:lastModifiedBy>Drozario-evans, Katie</cp:lastModifiedBy>
  <cp:revision>2</cp:revision>
  <cp:lastPrinted>2025-10-02T14:03:00Z</cp:lastPrinted>
  <dcterms:created xsi:type="dcterms:W3CDTF">2025-10-02T14:59:00Z</dcterms:created>
  <dcterms:modified xsi:type="dcterms:W3CDTF">2025-10-02T14:59:00Z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0x010100CE5546E5C8AC1B4B84D014CB91F62AB8</vt:lpwstr>
  </property>
  <property fmtid="{D5CDD505-2E9C-101B-9397-08002B2CF9AE}" pid="3" name="MediaServiceImageTags">
    <vt:lpwstr/>
  </property>
</Properties>
</file>