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BC5FF" w14:textId="4FD0E986" w:rsidR="000E3540" w:rsidRPr="00105F35" w:rsidRDefault="001F1A88" w:rsidP="00B508C9">
      <w:pPr>
        <w:pStyle w:val="Title"/>
        <w:outlineLvl w:val="9"/>
        <w:rPr>
          <w:sz w:val="52"/>
        </w:rPr>
      </w:pPr>
      <w:r w:rsidRPr="001F1A88">
        <w:t>Salford</w:t>
      </w:r>
      <w:r w:rsidR="00B86E37" w:rsidRPr="00105F35">
        <w:t xml:space="preserve"> </w:t>
      </w:r>
      <w:r w:rsidR="007C5D32" w:rsidRPr="00105F35">
        <w:t xml:space="preserve">Safeguarding </w:t>
      </w:r>
      <w:r w:rsidR="007C5D32" w:rsidRPr="00DF1384">
        <w:rPr>
          <w:rStyle w:val="TitleChar"/>
        </w:rPr>
        <w:t>Adults</w:t>
      </w:r>
      <w:r w:rsidR="007C5D32" w:rsidRPr="00105F35">
        <w:t xml:space="preserve"> Board</w:t>
      </w:r>
    </w:p>
    <w:p w14:paraId="13679C75" w14:textId="77777777" w:rsidR="000E3540" w:rsidRPr="00105F35" w:rsidRDefault="000E3540" w:rsidP="00F33E68">
      <w:pPr>
        <w:rPr>
          <w:rFonts w:ascii="Calibri" w:hAnsi="Calibri" w:cs="Arial"/>
          <w:b/>
          <w:sz w:val="24"/>
          <w:szCs w:val="24"/>
        </w:rPr>
      </w:pPr>
    </w:p>
    <w:p w14:paraId="08E9FFA9" w14:textId="6A0BDF8B" w:rsidR="000E3540" w:rsidRPr="00EA7F82" w:rsidRDefault="0048458D" w:rsidP="00EA7F82">
      <w:pPr>
        <w:pStyle w:val="Subtitle"/>
      </w:pPr>
      <w:r w:rsidRPr="00EA7F82">
        <w:t>Safeguarding Adults Review</w:t>
      </w:r>
      <w:r w:rsidR="00377CE7">
        <w:t xml:space="preserve"> </w:t>
      </w:r>
      <w:r w:rsidR="00563C51">
        <w:t>Francis</w:t>
      </w:r>
    </w:p>
    <w:p w14:paraId="64DC8002" w14:textId="77777777" w:rsidR="00904E61" w:rsidRDefault="00904E61" w:rsidP="00EA7F82">
      <w:pPr>
        <w:pStyle w:val="Subtitle"/>
      </w:pPr>
    </w:p>
    <w:p w14:paraId="617F077E" w14:textId="22BFEB64" w:rsidR="00B61FE1" w:rsidRDefault="00DB6019" w:rsidP="00EA7F82">
      <w:pPr>
        <w:pStyle w:val="Subtitle"/>
      </w:pPr>
      <w:r>
        <w:t>Final Report</w:t>
      </w:r>
      <w:r w:rsidR="00377CE7">
        <w:t xml:space="preserve"> </w:t>
      </w:r>
    </w:p>
    <w:p w14:paraId="58EE20F1" w14:textId="77777777" w:rsidR="00081BF1" w:rsidRDefault="00081BF1" w:rsidP="00081BF1"/>
    <w:p w14:paraId="5A0D6D44" w14:textId="77777777" w:rsidR="00766AC5" w:rsidRDefault="00766AC5" w:rsidP="00081BF1"/>
    <w:p w14:paraId="4F3C3A74" w14:textId="77777777" w:rsidR="00766AC5" w:rsidRDefault="00766AC5" w:rsidP="00081BF1"/>
    <w:p w14:paraId="63819992" w14:textId="77777777" w:rsidR="00766AC5" w:rsidRDefault="00766AC5" w:rsidP="00081BF1"/>
    <w:p w14:paraId="182BEDBA" w14:textId="77777777" w:rsidR="00766AC5" w:rsidRDefault="00766AC5" w:rsidP="00081BF1"/>
    <w:p w14:paraId="3B4A8C11" w14:textId="77777777" w:rsidR="00766AC5" w:rsidRDefault="00766AC5" w:rsidP="00081BF1"/>
    <w:p w14:paraId="4026CDBC" w14:textId="77777777" w:rsidR="00766AC5" w:rsidRDefault="00766AC5" w:rsidP="00081BF1"/>
    <w:p w14:paraId="050F4603" w14:textId="77777777" w:rsidR="00766AC5" w:rsidRDefault="00766AC5" w:rsidP="00081BF1"/>
    <w:p w14:paraId="5ED9F215" w14:textId="77777777" w:rsidR="00766AC5" w:rsidRDefault="00766AC5" w:rsidP="00081BF1"/>
    <w:p w14:paraId="4376B9E1" w14:textId="77777777" w:rsidR="00766AC5" w:rsidRDefault="00766AC5" w:rsidP="00081BF1"/>
    <w:p w14:paraId="0B40235B" w14:textId="77777777" w:rsidR="00766AC5" w:rsidRDefault="00766AC5" w:rsidP="00081BF1"/>
    <w:p w14:paraId="266A2C4F" w14:textId="77777777" w:rsidR="00766AC5" w:rsidRDefault="00766AC5" w:rsidP="00081BF1"/>
    <w:p w14:paraId="7A09DEB8" w14:textId="77777777" w:rsidR="00766AC5" w:rsidRDefault="00766AC5" w:rsidP="00081BF1"/>
    <w:p w14:paraId="3B37D3A0" w14:textId="77777777" w:rsidR="00766AC5" w:rsidRDefault="00766AC5" w:rsidP="00081BF1"/>
    <w:p w14:paraId="0F32E1EB" w14:textId="77777777" w:rsidR="00766AC5" w:rsidRDefault="00766AC5" w:rsidP="00081BF1"/>
    <w:p w14:paraId="766F60DB" w14:textId="77777777" w:rsidR="00766AC5" w:rsidRDefault="00766AC5" w:rsidP="00081BF1"/>
    <w:p w14:paraId="1BFF9C01" w14:textId="77777777" w:rsidR="00766AC5" w:rsidRDefault="00766AC5" w:rsidP="00081BF1"/>
    <w:p w14:paraId="7001D736" w14:textId="77777777" w:rsidR="00766AC5" w:rsidRDefault="00766AC5" w:rsidP="00081BF1"/>
    <w:p w14:paraId="463EF88F" w14:textId="77777777" w:rsidR="00766AC5" w:rsidRDefault="00766AC5" w:rsidP="00081BF1"/>
    <w:p w14:paraId="3BEDA052" w14:textId="77777777" w:rsidR="00766AC5" w:rsidRDefault="00766AC5" w:rsidP="00081BF1"/>
    <w:p w14:paraId="08F222C5" w14:textId="77777777" w:rsidR="00766AC5" w:rsidRDefault="00766AC5" w:rsidP="00081BF1"/>
    <w:p w14:paraId="668D4D98" w14:textId="77777777" w:rsidR="00766AC5" w:rsidRDefault="00766AC5" w:rsidP="00081BF1"/>
    <w:p w14:paraId="0F570D95" w14:textId="77777777" w:rsidR="00766AC5" w:rsidRDefault="00766AC5" w:rsidP="00081BF1"/>
    <w:p w14:paraId="2FD0A9D7" w14:textId="77777777" w:rsidR="00766AC5" w:rsidRDefault="00766AC5" w:rsidP="00081BF1"/>
    <w:p w14:paraId="578DCC28" w14:textId="77777777" w:rsidR="00766AC5" w:rsidRDefault="00766AC5" w:rsidP="00081BF1"/>
    <w:p w14:paraId="62CB82AC" w14:textId="77777777" w:rsidR="0058155A" w:rsidRDefault="0058155A" w:rsidP="00081BF1"/>
    <w:p w14:paraId="04989D53" w14:textId="77777777" w:rsidR="0058155A" w:rsidRDefault="0058155A" w:rsidP="00081BF1"/>
    <w:p w14:paraId="613F17CD" w14:textId="77777777" w:rsidR="00766AC5" w:rsidRDefault="00766AC5" w:rsidP="00081BF1"/>
    <w:p w14:paraId="098FE291" w14:textId="77777777" w:rsidR="00766AC5" w:rsidRDefault="00766AC5" w:rsidP="00081BF1"/>
    <w:p w14:paraId="6AF4E645" w14:textId="77777777" w:rsidR="00766AC5" w:rsidRDefault="00766AC5" w:rsidP="00081BF1"/>
    <w:p w14:paraId="4B58DC66" w14:textId="77777777" w:rsidR="00766AC5" w:rsidRDefault="00766AC5" w:rsidP="00081BF1"/>
    <w:p w14:paraId="70DF4067" w14:textId="32976BB3" w:rsidR="00265D02" w:rsidRPr="00265D02" w:rsidRDefault="00265D02" w:rsidP="00265D02">
      <w:pPr>
        <w:rPr>
          <w:b/>
          <w:bCs/>
        </w:rPr>
      </w:pPr>
      <w:r w:rsidRPr="00265D02">
        <w:rPr>
          <w:b/>
          <w:bCs/>
        </w:rPr>
        <w:t>Author:</w:t>
      </w:r>
      <w:r w:rsidRPr="00265D02">
        <w:rPr>
          <w:b/>
          <w:bCs/>
        </w:rPr>
        <w:tab/>
        <w:t>Eliot Smith, Independent Reviewer</w:t>
      </w:r>
    </w:p>
    <w:p w14:paraId="3FB69A44" w14:textId="32F0819B" w:rsidR="00265D02" w:rsidRPr="00265D02" w:rsidRDefault="00265D02" w:rsidP="00265D02">
      <w:pPr>
        <w:rPr>
          <w:b/>
          <w:bCs/>
        </w:rPr>
      </w:pPr>
      <w:r w:rsidRPr="00265D02">
        <w:rPr>
          <w:b/>
          <w:bCs/>
        </w:rPr>
        <w:tab/>
      </w:r>
      <w:r w:rsidRPr="00265D02">
        <w:rPr>
          <w:b/>
          <w:bCs/>
        </w:rPr>
        <w:tab/>
      </w:r>
      <w:r>
        <w:rPr>
          <w:b/>
          <w:bCs/>
        </w:rPr>
        <w:t>S</w:t>
      </w:r>
      <w:r w:rsidRPr="00265D02">
        <w:rPr>
          <w:b/>
          <w:bCs/>
        </w:rPr>
        <w:t>mith &amp; Smith Associates Ltd.</w:t>
      </w:r>
    </w:p>
    <w:p w14:paraId="0A78C3C9" w14:textId="28A84821" w:rsidR="00766AC5" w:rsidRDefault="00265D02" w:rsidP="00265D02">
      <w:pPr>
        <w:rPr>
          <w:b/>
          <w:bCs/>
        </w:rPr>
      </w:pPr>
      <w:r w:rsidRPr="00265D02">
        <w:rPr>
          <w:b/>
          <w:bCs/>
        </w:rPr>
        <w:t>Date:</w:t>
      </w:r>
      <w:r w:rsidRPr="00265D02">
        <w:rPr>
          <w:b/>
          <w:bCs/>
        </w:rPr>
        <w:tab/>
      </w:r>
      <w:r w:rsidRPr="00265D02">
        <w:rPr>
          <w:b/>
          <w:bCs/>
        </w:rPr>
        <w:tab/>
      </w:r>
      <w:r w:rsidR="0074127F">
        <w:rPr>
          <w:b/>
          <w:bCs/>
        </w:rPr>
        <w:t>April 2024</w:t>
      </w:r>
      <w:r w:rsidR="000E5712">
        <w:rPr>
          <w:b/>
          <w:bCs/>
        </w:rPr>
        <w:t xml:space="preserve"> </w:t>
      </w:r>
    </w:p>
    <w:p w14:paraId="2057838C" w14:textId="77777777" w:rsidR="00265D02" w:rsidRDefault="00265D02" w:rsidP="00265D02"/>
    <w:p w14:paraId="3500F59F" w14:textId="77777777" w:rsidR="00265D02" w:rsidRDefault="00265D02" w:rsidP="00265D02"/>
    <w:p w14:paraId="7ACC63E9" w14:textId="77777777" w:rsidR="00265D02" w:rsidRDefault="00265D02" w:rsidP="00265D02"/>
    <w:p w14:paraId="442A1BDB" w14:textId="77777777" w:rsidR="00265D02" w:rsidRDefault="00265D02" w:rsidP="00265D02"/>
    <w:sdt>
      <w:sdtPr>
        <w:rPr>
          <w:rFonts w:eastAsiaTheme="minorEastAsia" w:cstheme="minorBidi"/>
          <w:caps w:val="0"/>
          <w:color w:val="auto"/>
          <w:sz w:val="22"/>
          <w:szCs w:val="22"/>
          <w:lang w:val="en-GB"/>
        </w:rPr>
        <w:id w:val="-1429958168"/>
        <w:docPartObj>
          <w:docPartGallery w:val="Table of Contents"/>
          <w:docPartUnique/>
        </w:docPartObj>
      </w:sdtPr>
      <w:sdtEndPr>
        <w:rPr>
          <w:b/>
          <w:bCs/>
        </w:rPr>
      </w:sdtEndPr>
      <w:sdtContent>
        <w:p w14:paraId="7B86CBD5" w14:textId="77777777" w:rsidR="00E26EE1" w:rsidRDefault="00E26EE1" w:rsidP="002F376B">
          <w:pPr>
            <w:pStyle w:val="TOCHeading"/>
          </w:pPr>
          <w:r>
            <w:t>Contents</w:t>
          </w:r>
        </w:p>
        <w:p w14:paraId="67955A9C" w14:textId="29344593" w:rsidR="0058155A" w:rsidRDefault="00E26EE1">
          <w:pPr>
            <w:pStyle w:val="TOC1"/>
            <w:rPr>
              <w:rFonts w:asciiTheme="minorHAnsi" w:eastAsiaTheme="minorEastAsia" w:hAnsiTheme="minorHAnsi"/>
              <w:b w:val="0"/>
              <w:noProof/>
              <w:kern w:val="2"/>
              <w:sz w:val="24"/>
              <w:szCs w:val="24"/>
              <w:lang w:eastAsia="en-GB"/>
              <w14:ligatures w14:val="standardContextual"/>
            </w:rPr>
          </w:pPr>
          <w:r>
            <w:fldChar w:fldCharType="begin"/>
          </w:r>
          <w:r>
            <w:instrText xml:space="preserve"> TOC \o "1-3" \h \z \u </w:instrText>
          </w:r>
          <w:r>
            <w:fldChar w:fldCharType="separate"/>
          </w:r>
          <w:hyperlink w:anchor="_Toc165109307" w:history="1">
            <w:r w:rsidR="0058155A" w:rsidRPr="00EE54FF">
              <w:rPr>
                <w:rStyle w:val="Hyperlink"/>
                <w:noProof/>
              </w:rPr>
              <w:t>Introduction</w:t>
            </w:r>
            <w:r w:rsidR="0058155A">
              <w:rPr>
                <w:noProof/>
                <w:webHidden/>
              </w:rPr>
              <w:tab/>
            </w:r>
            <w:r w:rsidR="0058155A">
              <w:rPr>
                <w:noProof/>
                <w:webHidden/>
              </w:rPr>
              <w:fldChar w:fldCharType="begin"/>
            </w:r>
            <w:r w:rsidR="0058155A">
              <w:rPr>
                <w:noProof/>
                <w:webHidden/>
              </w:rPr>
              <w:instrText xml:space="preserve"> PAGEREF _Toc165109307 \h </w:instrText>
            </w:r>
            <w:r w:rsidR="0058155A">
              <w:rPr>
                <w:noProof/>
                <w:webHidden/>
              </w:rPr>
            </w:r>
            <w:r w:rsidR="0058155A">
              <w:rPr>
                <w:noProof/>
                <w:webHidden/>
              </w:rPr>
              <w:fldChar w:fldCharType="separate"/>
            </w:r>
            <w:r w:rsidR="0058155A">
              <w:rPr>
                <w:noProof/>
                <w:webHidden/>
              </w:rPr>
              <w:t>3</w:t>
            </w:r>
            <w:r w:rsidR="0058155A">
              <w:rPr>
                <w:noProof/>
                <w:webHidden/>
              </w:rPr>
              <w:fldChar w:fldCharType="end"/>
            </w:r>
          </w:hyperlink>
        </w:p>
        <w:p w14:paraId="67C1F4E7" w14:textId="5E54BB23" w:rsidR="0058155A" w:rsidRDefault="008A56FF">
          <w:pPr>
            <w:pStyle w:val="TOC2"/>
            <w:tabs>
              <w:tab w:val="right" w:leader="dot" w:pos="9465"/>
            </w:tabs>
            <w:rPr>
              <w:rFonts w:asciiTheme="minorHAnsi" w:eastAsiaTheme="minorEastAsia" w:hAnsiTheme="minorHAnsi"/>
              <w:noProof/>
              <w:kern w:val="2"/>
              <w:sz w:val="24"/>
              <w:szCs w:val="24"/>
              <w:lang w:eastAsia="en-GB"/>
              <w14:ligatures w14:val="standardContextual"/>
            </w:rPr>
          </w:pPr>
          <w:hyperlink w:anchor="_Toc165109308" w:history="1">
            <w:r w:rsidR="0058155A" w:rsidRPr="00EE54FF">
              <w:rPr>
                <w:rStyle w:val="Hyperlink"/>
                <w:noProof/>
              </w:rPr>
              <w:t>Background to the case</w:t>
            </w:r>
            <w:r w:rsidR="0058155A">
              <w:rPr>
                <w:noProof/>
                <w:webHidden/>
              </w:rPr>
              <w:tab/>
            </w:r>
            <w:r w:rsidR="0058155A">
              <w:rPr>
                <w:noProof/>
                <w:webHidden/>
              </w:rPr>
              <w:fldChar w:fldCharType="begin"/>
            </w:r>
            <w:r w:rsidR="0058155A">
              <w:rPr>
                <w:noProof/>
                <w:webHidden/>
              </w:rPr>
              <w:instrText xml:space="preserve"> PAGEREF _Toc165109308 \h </w:instrText>
            </w:r>
            <w:r w:rsidR="0058155A">
              <w:rPr>
                <w:noProof/>
                <w:webHidden/>
              </w:rPr>
            </w:r>
            <w:r w:rsidR="0058155A">
              <w:rPr>
                <w:noProof/>
                <w:webHidden/>
              </w:rPr>
              <w:fldChar w:fldCharType="separate"/>
            </w:r>
            <w:r w:rsidR="0058155A">
              <w:rPr>
                <w:noProof/>
                <w:webHidden/>
              </w:rPr>
              <w:t>3</w:t>
            </w:r>
            <w:r w:rsidR="0058155A">
              <w:rPr>
                <w:noProof/>
                <w:webHidden/>
              </w:rPr>
              <w:fldChar w:fldCharType="end"/>
            </w:r>
          </w:hyperlink>
        </w:p>
        <w:p w14:paraId="16DD20C8" w14:textId="19E59860" w:rsidR="0058155A" w:rsidRDefault="008A56FF">
          <w:pPr>
            <w:pStyle w:val="TOC2"/>
            <w:tabs>
              <w:tab w:val="right" w:leader="dot" w:pos="9465"/>
            </w:tabs>
            <w:rPr>
              <w:rFonts w:asciiTheme="minorHAnsi" w:eastAsiaTheme="minorEastAsia" w:hAnsiTheme="minorHAnsi"/>
              <w:noProof/>
              <w:kern w:val="2"/>
              <w:sz w:val="24"/>
              <w:szCs w:val="24"/>
              <w:lang w:eastAsia="en-GB"/>
              <w14:ligatures w14:val="standardContextual"/>
            </w:rPr>
          </w:pPr>
          <w:hyperlink w:anchor="_Toc165109309" w:history="1">
            <w:r w:rsidR="0058155A" w:rsidRPr="00EE54FF">
              <w:rPr>
                <w:rStyle w:val="Hyperlink"/>
                <w:noProof/>
              </w:rPr>
              <w:t>About the Reviewer</w:t>
            </w:r>
            <w:r w:rsidR="0058155A">
              <w:rPr>
                <w:noProof/>
                <w:webHidden/>
              </w:rPr>
              <w:tab/>
            </w:r>
            <w:r w:rsidR="0058155A">
              <w:rPr>
                <w:noProof/>
                <w:webHidden/>
              </w:rPr>
              <w:fldChar w:fldCharType="begin"/>
            </w:r>
            <w:r w:rsidR="0058155A">
              <w:rPr>
                <w:noProof/>
                <w:webHidden/>
              </w:rPr>
              <w:instrText xml:space="preserve"> PAGEREF _Toc165109309 \h </w:instrText>
            </w:r>
            <w:r w:rsidR="0058155A">
              <w:rPr>
                <w:noProof/>
                <w:webHidden/>
              </w:rPr>
            </w:r>
            <w:r w:rsidR="0058155A">
              <w:rPr>
                <w:noProof/>
                <w:webHidden/>
              </w:rPr>
              <w:fldChar w:fldCharType="separate"/>
            </w:r>
            <w:r w:rsidR="0058155A">
              <w:rPr>
                <w:noProof/>
                <w:webHidden/>
              </w:rPr>
              <w:t>3</w:t>
            </w:r>
            <w:r w:rsidR="0058155A">
              <w:rPr>
                <w:noProof/>
                <w:webHidden/>
              </w:rPr>
              <w:fldChar w:fldCharType="end"/>
            </w:r>
          </w:hyperlink>
        </w:p>
        <w:p w14:paraId="3C3F4A7C" w14:textId="5A74B0ED" w:rsidR="0058155A" w:rsidRDefault="008A56FF">
          <w:pPr>
            <w:pStyle w:val="TOC2"/>
            <w:tabs>
              <w:tab w:val="right" w:leader="dot" w:pos="9465"/>
            </w:tabs>
            <w:rPr>
              <w:rFonts w:asciiTheme="minorHAnsi" w:eastAsiaTheme="minorEastAsia" w:hAnsiTheme="minorHAnsi"/>
              <w:noProof/>
              <w:kern w:val="2"/>
              <w:sz w:val="24"/>
              <w:szCs w:val="24"/>
              <w:lang w:eastAsia="en-GB"/>
              <w14:ligatures w14:val="standardContextual"/>
            </w:rPr>
          </w:pPr>
          <w:hyperlink w:anchor="_Toc165109310" w:history="1">
            <w:r w:rsidR="0058155A" w:rsidRPr="00EE54FF">
              <w:rPr>
                <w:rStyle w:val="Hyperlink"/>
                <w:noProof/>
              </w:rPr>
              <w:t>Organisational involvement</w:t>
            </w:r>
            <w:r w:rsidR="0058155A">
              <w:rPr>
                <w:noProof/>
                <w:webHidden/>
              </w:rPr>
              <w:tab/>
            </w:r>
            <w:r w:rsidR="0058155A">
              <w:rPr>
                <w:noProof/>
                <w:webHidden/>
              </w:rPr>
              <w:fldChar w:fldCharType="begin"/>
            </w:r>
            <w:r w:rsidR="0058155A">
              <w:rPr>
                <w:noProof/>
                <w:webHidden/>
              </w:rPr>
              <w:instrText xml:space="preserve"> PAGEREF _Toc165109310 \h </w:instrText>
            </w:r>
            <w:r w:rsidR="0058155A">
              <w:rPr>
                <w:noProof/>
                <w:webHidden/>
              </w:rPr>
            </w:r>
            <w:r w:rsidR="0058155A">
              <w:rPr>
                <w:noProof/>
                <w:webHidden/>
              </w:rPr>
              <w:fldChar w:fldCharType="separate"/>
            </w:r>
            <w:r w:rsidR="0058155A">
              <w:rPr>
                <w:noProof/>
                <w:webHidden/>
              </w:rPr>
              <w:t>4</w:t>
            </w:r>
            <w:r w:rsidR="0058155A">
              <w:rPr>
                <w:noProof/>
                <w:webHidden/>
              </w:rPr>
              <w:fldChar w:fldCharType="end"/>
            </w:r>
          </w:hyperlink>
        </w:p>
        <w:p w14:paraId="631948DE" w14:textId="2B8F7C3A" w:rsidR="0058155A" w:rsidRDefault="008A56FF">
          <w:pPr>
            <w:pStyle w:val="TOC2"/>
            <w:tabs>
              <w:tab w:val="right" w:leader="dot" w:pos="9465"/>
            </w:tabs>
            <w:rPr>
              <w:rFonts w:asciiTheme="minorHAnsi" w:eastAsiaTheme="minorEastAsia" w:hAnsiTheme="minorHAnsi"/>
              <w:noProof/>
              <w:kern w:val="2"/>
              <w:sz w:val="24"/>
              <w:szCs w:val="24"/>
              <w:lang w:eastAsia="en-GB"/>
              <w14:ligatures w14:val="standardContextual"/>
            </w:rPr>
          </w:pPr>
          <w:hyperlink w:anchor="_Toc165109311" w:history="1">
            <w:r w:rsidR="0058155A" w:rsidRPr="00EE54FF">
              <w:rPr>
                <w:rStyle w:val="Hyperlink"/>
                <w:noProof/>
              </w:rPr>
              <w:t>Family involvement</w:t>
            </w:r>
            <w:r w:rsidR="0058155A">
              <w:rPr>
                <w:noProof/>
                <w:webHidden/>
              </w:rPr>
              <w:tab/>
            </w:r>
            <w:r w:rsidR="0058155A">
              <w:rPr>
                <w:noProof/>
                <w:webHidden/>
              </w:rPr>
              <w:fldChar w:fldCharType="begin"/>
            </w:r>
            <w:r w:rsidR="0058155A">
              <w:rPr>
                <w:noProof/>
                <w:webHidden/>
              </w:rPr>
              <w:instrText xml:space="preserve"> PAGEREF _Toc165109311 \h </w:instrText>
            </w:r>
            <w:r w:rsidR="0058155A">
              <w:rPr>
                <w:noProof/>
                <w:webHidden/>
              </w:rPr>
            </w:r>
            <w:r w:rsidR="0058155A">
              <w:rPr>
                <w:noProof/>
                <w:webHidden/>
              </w:rPr>
              <w:fldChar w:fldCharType="separate"/>
            </w:r>
            <w:r w:rsidR="0058155A">
              <w:rPr>
                <w:noProof/>
                <w:webHidden/>
              </w:rPr>
              <w:t>4</w:t>
            </w:r>
            <w:r w:rsidR="0058155A">
              <w:rPr>
                <w:noProof/>
                <w:webHidden/>
              </w:rPr>
              <w:fldChar w:fldCharType="end"/>
            </w:r>
          </w:hyperlink>
        </w:p>
        <w:p w14:paraId="5C0D53F9" w14:textId="0C55274C" w:rsidR="0058155A" w:rsidRDefault="008A56FF">
          <w:pPr>
            <w:pStyle w:val="TOC2"/>
            <w:tabs>
              <w:tab w:val="right" w:leader="dot" w:pos="9465"/>
            </w:tabs>
            <w:rPr>
              <w:rFonts w:asciiTheme="minorHAnsi" w:eastAsiaTheme="minorEastAsia" w:hAnsiTheme="minorHAnsi"/>
              <w:noProof/>
              <w:kern w:val="2"/>
              <w:sz w:val="24"/>
              <w:szCs w:val="24"/>
              <w:lang w:eastAsia="en-GB"/>
              <w14:ligatures w14:val="standardContextual"/>
            </w:rPr>
          </w:pPr>
          <w:hyperlink w:anchor="_Toc165109312" w:history="1">
            <w:r w:rsidR="0058155A" w:rsidRPr="00EE54FF">
              <w:rPr>
                <w:rStyle w:val="Hyperlink"/>
                <w:noProof/>
              </w:rPr>
              <w:t>Principles</w:t>
            </w:r>
            <w:r w:rsidR="0058155A">
              <w:rPr>
                <w:noProof/>
                <w:webHidden/>
              </w:rPr>
              <w:tab/>
            </w:r>
            <w:r w:rsidR="0058155A">
              <w:rPr>
                <w:noProof/>
                <w:webHidden/>
              </w:rPr>
              <w:fldChar w:fldCharType="begin"/>
            </w:r>
            <w:r w:rsidR="0058155A">
              <w:rPr>
                <w:noProof/>
                <w:webHidden/>
              </w:rPr>
              <w:instrText xml:space="preserve"> PAGEREF _Toc165109312 \h </w:instrText>
            </w:r>
            <w:r w:rsidR="0058155A">
              <w:rPr>
                <w:noProof/>
                <w:webHidden/>
              </w:rPr>
            </w:r>
            <w:r w:rsidR="0058155A">
              <w:rPr>
                <w:noProof/>
                <w:webHidden/>
              </w:rPr>
              <w:fldChar w:fldCharType="separate"/>
            </w:r>
            <w:r w:rsidR="0058155A">
              <w:rPr>
                <w:noProof/>
                <w:webHidden/>
              </w:rPr>
              <w:t>4</w:t>
            </w:r>
            <w:r w:rsidR="0058155A">
              <w:rPr>
                <w:noProof/>
                <w:webHidden/>
              </w:rPr>
              <w:fldChar w:fldCharType="end"/>
            </w:r>
          </w:hyperlink>
        </w:p>
        <w:p w14:paraId="065B63CF" w14:textId="4BEF9B86" w:rsidR="0058155A" w:rsidRDefault="008A56FF">
          <w:pPr>
            <w:pStyle w:val="TOC2"/>
            <w:tabs>
              <w:tab w:val="right" w:leader="dot" w:pos="9465"/>
            </w:tabs>
            <w:rPr>
              <w:rFonts w:asciiTheme="minorHAnsi" w:eastAsiaTheme="minorEastAsia" w:hAnsiTheme="minorHAnsi"/>
              <w:noProof/>
              <w:kern w:val="2"/>
              <w:sz w:val="24"/>
              <w:szCs w:val="24"/>
              <w:lang w:eastAsia="en-GB"/>
              <w14:ligatures w14:val="standardContextual"/>
            </w:rPr>
          </w:pPr>
          <w:hyperlink w:anchor="_Toc165109313" w:history="1">
            <w:r w:rsidR="0058155A" w:rsidRPr="00EE54FF">
              <w:rPr>
                <w:rStyle w:val="Hyperlink"/>
                <w:noProof/>
              </w:rPr>
              <w:t>Methodology and limitations</w:t>
            </w:r>
            <w:r w:rsidR="0058155A">
              <w:rPr>
                <w:noProof/>
                <w:webHidden/>
              </w:rPr>
              <w:tab/>
            </w:r>
            <w:r w:rsidR="0058155A">
              <w:rPr>
                <w:noProof/>
                <w:webHidden/>
              </w:rPr>
              <w:fldChar w:fldCharType="begin"/>
            </w:r>
            <w:r w:rsidR="0058155A">
              <w:rPr>
                <w:noProof/>
                <w:webHidden/>
              </w:rPr>
              <w:instrText xml:space="preserve"> PAGEREF _Toc165109313 \h </w:instrText>
            </w:r>
            <w:r w:rsidR="0058155A">
              <w:rPr>
                <w:noProof/>
                <w:webHidden/>
              </w:rPr>
            </w:r>
            <w:r w:rsidR="0058155A">
              <w:rPr>
                <w:noProof/>
                <w:webHidden/>
              </w:rPr>
              <w:fldChar w:fldCharType="separate"/>
            </w:r>
            <w:r w:rsidR="0058155A">
              <w:rPr>
                <w:noProof/>
                <w:webHidden/>
              </w:rPr>
              <w:t>4</w:t>
            </w:r>
            <w:r w:rsidR="0058155A">
              <w:rPr>
                <w:noProof/>
                <w:webHidden/>
              </w:rPr>
              <w:fldChar w:fldCharType="end"/>
            </w:r>
          </w:hyperlink>
        </w:p>
        <w:p w14:paraId="7B10A256" w14:textId="5B289120" w:rsidR="0058155A" w:rsidRDefault="008A56FF">
          <w:pPr>
            <w:pStyle w:val="TOC2"/>
            <w:tabs>
              <w:tab w:val="right" w:leader="dot" w:pos="9465"/>
            </w:tabs>
            <w:rPr>
              <w:rFonts w:asciiTheme="minorHAnsi" w:eastAsiaTheme="minorEastAsia" w:hAnsiTheme="minorHAnsi"/>
              <w:noProof/>
              <w:kern w:val="2"/>
              <w:sz w:val="24"/>
              <w:szCs w:val="24"/>
              <w:lang w:eastAsia="en-GB"/>
              <w14:ligatures w14:val="standardContextual"/>
            </w:rPr>
          </w:pPr>
          <w:hyperlink w:anchor="_Toc165109314" w:history="1">
            <w:r w:rsidR="0058155A" w:rsidRPr="00EE54FF">
              <w:rPr>
                <w:rStyle w:val="Hyperlink"/>
                <w:noProof/>
              </w:rPr>
              <w:t>Specific terms of reference</w:t>
            </w:r>
            <w:r w:rsidR="0058155A">
              <w:rPr>
                <w:noProof/>
                <w:webHidden/>
              </w:rPr>
              <w:tab/>
            </w:r>
            <w:r w:rsidR="0058155A">
              <w:rPr>
                <w:noProof/>
                <w:webHidden/>
              </w:rPr>
              <w:fldChar w:fldCharType="begin"/>
            </w:r>
            <w:r w:rsidR="0058155A">
              <w:rPr>
                <w:noProof/>
                <w:webHidden/>
              </w:rPr>
              <w:instrText xml:space="preserve"> PAGEREF _Toc165109314 \h </w:instrText>
            </w:r>
            <w:r w:rsidR="0058155A">
              <w:rPr>
                <w:noProof/>
                <w:webHidden/>
              </w:rPr>
            </w:r>
            <w:r w:rsidR="0058155A">
              <w:rPr>
                <w:noProof/>
                <w:webHidden/>
              </w:rPr>
              <w:fldChar w:fldCharType="separate"/>
            </w:r>
            <w:r w:rsidR="0058155A">
              <w:rPr>
                <w:noProof/>
                <w:webHidden/>
              </w:rPr>
              <w:t>5</w:t>
            </w:r>
            <w:r w:rsidR="0058155A">
              <w:rPr>
                <w:noProof/>
                <w:webHidden/>
              </w:rPr>
              <w:fldChar w:fldCharType="end"/>
            </w:r>
          </w:hyperlink>
        </w:p>
        <w:p w14:paraId="4830A88A" w14:textId="4A35E7B4" w:rsidR="0058155A" w:rsidRDefault="008A56FF">
          <w:pPr>
            <w:pStyle w:val="TOC1"/>
            <w:rPr>
              <w:rFonts w:asciiTheme="minorHAnsi" w:eastAsiaTheme="minorEastAsia" w:hAnsiTheme="minorHAnsi"/>
              <w:b w:val="0"/>
              <w:noProof/>
              <w:kern w:val="2"/>
              <w:sz w:val="24"/>
              <w:szCs w:val="24"/>
              <w:lang w:eastAsia="en-GB"/>
              <w14:ligatures w14:val="standardContextual"/>
            </w:rPr>
          </w:pPr>
          <w:hyperlink w:anchor="_Toc165109315" w:history="1">
            <w:r w:rsidR="0058155A" w:rsidRPr="00EE54FF">
              <w:rPr>
                <w:rStyle w:val="Hyperlink"/>
                <w:noProof/>
              </w:rPr>
              <w:t>Significant Experiences Timeline</w:t>
            </w:r>
            <w:r w:rsidR="0058155A">
              <w:rPr>
                <w:noProof/>
                <w:webHidden/>
              </w:rPr>
              <w:tab/>
            </w:r>
            <w:r w:rsidR="0058155A">
              <w:rPr>
                <w:noProof/>
                <w:webHidden/>
              </w:rPr>
              <w:fldChar w:fldCharType="begin"/>
            </w:r>
            <w:r w:rsidR="0058155A">
              <w:rPr>
                <w:noProof/>
                <w:webHidden/>
              </w:rPr>
              <w:instrText xml:space="preserve"> PAGEREF _Toc165109315 \h </w:instrText>
            </w:r>
            <w:r w:rsidR="0058155A">
              <w:rPr>
                <w:noProof/>
                <w:webHidden/>
              </w:rPr>
            </w:r>
            <w:r w:rsidR="0058155A">
              <w:rPr>
                <w:noProof/>
                <w:webHidden/>
              </w:rPr>
              <w:fldChar w:fldCharType="separate"/>
            </w:r>
            <w:r w:rsidR="0058155A">
              <w:rPr>
                <w:noProof/>
                <w:webHidden/>
              </w:rPr>
              <w:t>6</w:t>
            </w:r>
            <w:r w:rsidR="0058155A">
              <w:rPr>
                <w:noProof/>
                <w:webHidden/>
              </w:rPr>
              <w:fldChar w:fldCharType="end"/>
            </w:r>
          </w:hyperlink>
        </w:p>
        <w:p w14:paraId="0DBE942C" w14:textId="2D73886E" w:rsidR="0058155A" w:rsidRDefault="008A56FF">
          <w:pPr>
            <w:pStyle w:val="TOC2"/>
            <w:tabs>
              <w:tab w:val="right" w:leader="dot" w:pos="9465"/>
            </w:tabs>
            <w:rPr>
              <w:rFonts w:asciiTheme="minorHAnsi" w:eastAsiaTheme="minorEastAsia" w:hAnsiTheme="minorHAnsi"/>
              <w:noProof/>
              <w:kern w:val="2"/>
              <w:sz w:val="24"/>
              <w:szCs w:val="24"/>
              <w:lang w:eastAsia="en-GB"/>
              <w14:ligatures w14:val="standardContextual"/>
            </w:rPr>
          </w:pPr>
          <w:hyperlink w:anchor="_Toc165109316" w:history="1">
            <w:r w:rsidR="0058155A" w:rsidRPr="00EE54FF">
              <w:rPr>
                <w:rStyle w:val="Hyperlink"/>
                <w:noProof/>
              </w:rPr>
              <w:t>Case context</w:t>
            </w:r>
            <w:r w:rsidR="0058155A">
              <w:rPr>
                <w:noProof/>
                <w:webHidden/>
              </w:rPr>
              <w:tab/>
            </w:r>
            <w:r w:rsidR="0058155A">
              <w:rPr>
                <w:noProof/>
                <w:webHidden/>
              </w:rPr>
              <w:fldChar w:fldCharType="begin"/>
            </w:r>
            <w:r w:rsidR="0058155A">
              <w:rPr>
                <w:noProof/>
                <w:webHidden/>
              </w:rPr>
              <w:instrText xml:space="preserve"> PAGEREF _Toc165109316 \h </w:instrText>
            </w:r>
            <w:r w:rsidR="0058155A">
              <w:rPr>
                <w:noProof/>
                <w:webHidden/>
              </w:rPr>
            </w:r>
            <w:r w:rsidR="0058155A">
              <w:rPr>
                <w:noProof/>
                <w:webHidden/>
              </w:rPr>
              <w:fldChar w:fldCharType="separate"/>
            </w:r>
            <w:r w:rsidR="0058155A">
              <w:rPr>
                <w:noProof/>
                <w:webHidden/>
              </w:rPr>
              <w:t>7</w:t>
            </w:r>
            <w:r w:rsidR="0058155A">
              <w:rPr>
                <w:noProof/>
                <w:webHidden/>
              </w:rPr>
              <w:fldChar w:fldCharType="end"/>
            </w:r>
          </w:hyperlink>
        </w:p>
        <w:p w14:paraId="63470DE3" w14:textId="30DDC7DD" w:rsidR="0058155A" w:rsidRDefault="008A56FF">
          <w:pPr>
            <w:pStyle w:val="TOC1"/>
            <w:rPr>
              <w:rFonts w:asciiTheme="minorHAnsi" w:eastAsiaTheme="minorEastAsia" w:hAnsiTheme="minorHAnsi"/>
              <w:b w:val="0"/>
              <w:noProof/>
              <w:kern w:val="2"/>
              <w:sz w:val="24"/>
              <w:szCs w:val="24"/>
              <w:lang w:eastAsia="en-GB"/>
              <w14:ligatures w14:val="standardContextual"/>
            </w:rPr>
          </w:pPr>
          <w:hyperlink w:anchor="_Toc165109317" w:history="1">
            <w:r w:rsidR="0058155A" w:rsidRPr="00EE54FF">
              <w:rPr>
                <w:rStyle w:val="Hyperlink"/>
                <w:noProof/>
              </w:rPr>
              <w:t>Analysis and Findings</w:t>
            </w:r>
            <w:r w:rsidR="0058155A">
              <w:rPr>
                <w:noProof/>
                <w:webHidden/>
              </w:rPr>
              <w:tab/>
            </w:r>
            <w:r w:rsidR="0058155A">
              <w:rPr>
                <w:noProof/>
                <w:webHidden/>
              </w:rPr>
              <w:fldChar w:fldCharType="begin"/>
            </w:r>
            <w:r w:rsidR="0058155A">
              <w:rPr>
                <w:noProof/>
                <w:webHidden/>
              </w:rPr>
              <w:instrText xml:space="preserve"> PAGEREF _Toc165109317 \h </w:instrText>
            </w:r>
            <w:r w:rsidR="0058155A">
              <w:rPr>
                <w:noProof/>
                <w:webHidden/>
              </w:rPr>
            </w:r>
            <w:r w:rsidR="0058155A">
              <w:rPr>
                <w:noProof/>
                <w:webHidden/>
              </w:rPr>
              <w:fldChar w:fldCharType="separate"/>
            </w:r>
            <w:r w:rsidR="0058155A">
              <w:rPr>
                <w:noProof/>
                <w:webHidden/>
              </w:rPr>
              <w:t>8</w:t>
            </w:r>
            <w:r w:rsidR="0058155A">
              <w:rPr>
                <w:noProof/>
                <w:webHidden/>
              </w:rPr>
              <w:fldChar w:fldCharType="end"/>
            </w:r>
          </w:hyperlink>
        </w:p>
        <w:p w14:paraId="37EC9641" w14:textId="4779302E" w:rsidR="0058155A" w:rsidRDefault="008A56FF">
          <w:pPr>
            <w:pStyle w:val="TOC2"/>
            <w:tabs>
              <w:tab w:val="right" w:leader="dot" w:pos="9465"/>
            </w:tabs>
            <w:rPr>
              <w:rFonts w:asciiTheme="minorHAnsi" w:eastAsiaTheme="minorEastAsia" w:hAnsiTheme="minorHAnsi"/>
              <w:noProof/>
              <w:kern w:val="2"/>
              <w:sz w:val="24"/>
              <w:szCs w:val="24"/>
              <w:lang w:eastAsia="en-GB"/>
              <w14:ligatures w14:val="standardContextual"/>
            </w:rPr>
          </w:pPr>
          <w:hyperlink w:anchor="_Toc165109318" w:history="1">
            <w:r w:rsidR="0058155A" w:rsidRPr="00EE54FF">
              <w:rPr>
                <w:rStyle w:val="Hyperlink"/>
                <w:noProof/>
              </w:rPr>
              <w:t>TOR 1: Self-neglect</w:t>
            </w:r>
            <w:r w:rsidR="0058155A">
              <w:rPr>
                <w:noProof/>
                <w:webHidden/>
              </w:rPr>
              <w:tab/>
            </w:r>
            <w:r w:rsidR="0058155A">
              <w:rPr>
                <w:noProof/>
                <w:webHidden/>
              </w:rPr>
              <w:fldChar w:fldCharType="begin"/>
            </w:r>
            <w:r w:rsidR="0058155A">
              <w:rPr>
                <w:noProof/>
                <w:webHidden/>
              </w:rPr>
              <w:instrText xml:space="preserve"> PAGEREF _Toc165109318 \h </w:instrText>
            </w:r>
            <w:r w:rsidR="0058155A">
              <w:rPr>
                <w:noProof/>
                <w:webHidden/>
              </w:rPr>
            </w:r>
            <w:r w:rsidR="0058155A">
              <w:rPr>
                <w:noProof/>
                <w:webHidden/>
              </w:rPr>
              <w:fldChar w:fldCharType="separate"/>
            </w:r>
            <w:r w:rsidR="0058155A">
              <w:rPr>
                <w:noProof/>
                <w:webHidden/>
              </w:rPr>
              <w:t>8</w:t>
            </w:r>
            <w:r w:rsidR="0058155A">
              <w:rPr>
                <w:noProof/>
                <w:webHidden/>
              </w:rPr>
              <w:fldChar w:fldCharType="end"/>
            </w:r>
          </w:hyperlink>
        </w:p>
        <w:p w14:paraId="0A4D1ED2" w14:textId="748B3176" w:rsidR="0058155A" w:rsidRDefault="008A56FF">
          <w:pPr>
            <w:pStyle w:val="TOC3"/>
            <w:tabs>
              <w:tab w:val="right" w:leader="dot" w:pos="9465"/>
            </w:tabs>
            <w:rPr>
              <w:rFonts w:asciiTheme="minorHAnsi" w:eastAsiaTheme="minorEastAsia" w:hAnsiTheme="minorHAnsi"/>
              <w:noProof/>
              <w:kern w:val="2"/>
              <w:sz w:val="24"/>
              <w:szCs w:val="24"/>
              <w:lang w:eastAsia="en-GB"/>
              <w14:ligatures w14:val="standardContextual"/>
            </w:rPr>
          </w:pPr>
          <w:hyperlink w:anchor="_Toc165109319" w:history="1">
            <w:r w:rsidR="0058155A" w:rsidRPr="00EE54FF">
              <w:rPr>
                <w:rStyle w:val="Hyperlink"/>
                <w:noProof/>
              </w:rPr>
              <w:t>Finding 1:  Self-neglect: exploring underlying causes</w:t>
            </w:r>
            <w:r w:rsidR="0058155A">
              <w:rPr>
                <w:noProof/>
                <w:webHidden/>
              </w:rPr>
              <w:tab/>
            </w:r>
            <w:r w:rsidR="0058155A">
              <w:rPr>
                <w:noProof/>
                <w:webHidden/>
              </w:rPr>
              <w:fldChar w:fldCharType="begin"/>
            </w:r>
            <w:r w:rsidR="0058155A">
              <w:rPr>
                <w:noProof/>
                <w:webHidden/>
              </w:rPr>
              <w:instrText xml:space="preserve"> PAGEREF _Toc165109319 \h </w:instrText>
            </w:r>
            <w:r w:rsidR="0058155A">
              <w:rPr>
                <w:noProof/>
                <w:webHidden/>
              </w:rPr>
            </w:r>
            <w:r w:rsidR="0058155A">
              <w:rPr>
                <w:noProof/>
                <w:webHidden/>
              </w:rPr>
              <w:fldChar w:fldCharType="separate"/>
            </w:r>
            <w:r w:rsidR="0058155A">
              <w:rPr>
                <w:noProof/>
                <w:webHidden/>
              </w:rPr>
              <w:t>11</w:t>
            </w:r>
            <w:r w:rsidR="0058155A">
              <w:rPr>
                <w:noProof/>
                <w:webHidden/>
              </w:rPr>
              <w:fldChar w:fldCharType="end"/>
            </w:r>
          </w:hyperlink>
        </w:p>
        <w:p w14:paraId="4BA424A5" w14:textId="1CF58E48" w:rsidR="0058155A" w:rsidRDefault="008A56FF">
          <w:pPr>
            <w:pStyle w:val="TOC2"/>
            <w:tabs>
              <w:tab w:val="right" w:leader="dot" w:pos="9465"/>
            </w:tabs>
            <w:rPr>
              <w:rFonts w:asciiTheme="minorHAnsi" w:eastAsiaTheme="minorEastAsia" w:hAnsiTheme="minorHAnsi"/>
              <w:noProof/>
              <w:kern w:val="2"/>
              <w:sz w:val="24"/>
              <w:szCs w:val="24"/>
              <w:lang w:eastAsia="en-GB"/>
              <w14:ligatures w14:val="standardContextual"/>
            </w:rPr>
          </w:pPr>
          <w:hyperlink w:anchor="_Toc165109320" w:history="1">
            <w:r w:rsidR="0058155A" w:rsidRPr="00EE54FF">
              <w:rPr>
                <w:rStyle w:val="Hyperlink"/>
                <w:noProof/>
              </w:rPr>
              <w:t>TOR 2: Care and support needs on the context of drug and alcohol use</w:t>
            </w:r>
            <w:r w:rsidR="0058155A">
              <w:rPr>
                <w:noProof/>
                <w:webHidden/>
              </w:rPr>
              <w:tab/>
            </w:r>
            <w:r w:rsidR="0058155A">
              <w:rPr>
                <w:noProof/>
                <w:webHidden/>
              </w:rPr>
              <w:fldChar w:fldCharType="begin"/>
            </w:r>
            <w:r w:rsidR="0058155A">
              <w:rPr>
                <w:noProof/>
                <w:webHidden/>
              </w:rPr>
              <w:instrText xml:space="preserve"> PAGEREF _Toc165109320 \h </w:instrText>
            </w:r>
            <w:r w:rsidR="0058155A">
              <w:rPr>
                <w:noProof/>
                <w:webHidden/>
              </w:rPr>
            </w:r>
            <w:r w:rsidR="0058155A">
              <w:rPr>
                <w:noProof/>
                <w:webHidden/>
              </w:rPr>
              <w:fldChar w:fldCharType="separate"/>
            </w:r>
            <w:r w:rsidR="0058155A">
              <w:rPr>
                <w:noProof/>
                <w:webHidden/>
              </w:rPr>
              <w:t>12</w:t>
            </w:r>
            <w:r w:rsidR="0058155A">
              <w:rPr>
                <w:noProof/>
                <w:webHidden/>
              </w:rPr>
              <w:fldChar w:fldCharType="end"/>
            </w:r>
          </w:hyperlink>
        </w:p>
        <w:p w14:paraId="731EBD48" w14:textId="343F6716" w:rsidR="0058155A" w:rsidRDefault="008A56FF">
          <w:pPr>
            <w:pStyle w:val="TOC3"/>
            <w:tabs>
              <w:tab w:val="right" w:leader="dot" w:pos="9465"/>
            </w:tabs>
            <w:rPr>
              <w:rFonts w:asciiTheme="minorHAnsi" w:eastAsiaTheme="minorEastAsia" w:hAnsiTheme="minorHAnsi"/>
              <w:noProof/>
              <w:kern w:val="2"/>
              <w:sz w:val="24"/>
              <w:szCs w:val="24"/>
              <w:lang w:eastAsia="en-GB"/>
              <w14:ligatures w14:val="standardContextual"/>
            </w:rPr>
          </w:pPr>
          <w:hyperlink w:anchor="_Toc165109321" w:history="1">
            <w:r w:rsidR="0058155A" w:rsidRPr="00EE54FF">
              <w:rPr>
                <w:rStyle w:val="Hyperlink"/>
                <w:noProof/>
              </w:rPr>
              <w:t>Finding 2: Alcohol Assertive Outreach Approaches</w:t>
            </w:r>
            <w:r w:rsidR="0058155A">
              <w:rPr>
                <w:noProof/>
                <w:webHidden/>
              </w:rPr>
              <w:tab/>
            </w:r>
            <w:r w:rsidR="0058155A">
              <w:rPr>
                <w:noProof/>
                <w:webHidden/>
              </w:rPr>
              <w:fldChar w:fldCharType="begin"/>
            </w:r>
            <w:r w:rsidR="0058155A">
              <w:rPr>
                <w:noProof/>
                <w:webHidden/>
              </w:rPr>
              <w:instrText xml:space="preserve"> PAGEREF _Toc165109321 \h </w:instrText>
            </w:r>
            <w:r w:rsidR="0058155A">
              <w:rPr>
                <w:noProof/>
                <w:webHidden/>
              </w:rPr>
            </w:r>
            <w:r w:rsidR="0058155A">
              <w:rPr>
                <w:noProof/>
                <w:webHidden/>
              </w:rPr>
              <w:fldChar w:fldCharType="separate"/>
            </w:r>
            <w:r w:rsidR="0058155A">
              <w:rPr>
                <w:noProof/>
                <w:webHidden/>
              </w:rPr>
              <w:t>14</w:t>
            </w:r>
            <w:r w:rsidR="0058155A">
              <w:rPr>
                <w:noProof/>
                <w:webHidden/>
              </w:rPr>
              <w:fldChar w:fldCharType="end"/>
            </w:r>
          </w:hyperlink>
        </w:p>
        <w:p w14:paraId="7D507035" w14:textId="5D7FDFF2" w:rsidR="0058155A" w:rsidRDefault="008A56FF">
          <w:pPr>
            <w:pStyle w:val="TOC2"/>
            <w:tabs>
              <w:tab w:val="right" w:leader="dot" w:pos="9465"/>
            </w:tabs>
            <w:rPr>
              <w:rFonts w:asciiTheme="minorHAnsi" w:eastAsiaTheme="minorEastAsia" w:hAnsiTheme="minorHAnsi"/>
              <w:noProof/>
              <w:kern w:val="2"/>
              <w:sz w:val="24"/>
              <w:szCs w:val="24"/>
              <w:lang w:eastAsia="en-GB"/>
              <w14:ligatures w14:val="standardContextual"/>
            </w:rPr>
          </w:pPr>
          <w:hyperlink w:anchor="_Toc165109322" w:history="1">
            <w:r w:rsidR="0058155A" w:rsidRPr="00EE54FF">
              <w:rPr>
                <w:rStyle w:val="Hyperlink"/>
                <w:noProof/>
              </w:rPr>
              <w:t>TOR 3: Timely allocation</w:t>
            </w:r>
            <w:r w:rsidR="0058155A">
              <w:rPr>
                <w:noProof/>
                <w:webHidden/>
              </w:rPr>
              <w:tab/>
            </w:r>
            <w:r w:rsidR="0058155A">
              <w:rPr>
                <w:noProof/>
                <w:webHidden/>
              </w:rPr>
              <w:fldChar w:fldCharType="begin"/>
            </w:r>
            <w:r w:rsidR="0058155A">
              <w:rPr>
                <w:noProof/>
                <w:webHidden/>
              </w:rPr>
              <w:instrText xml:space="preserve"> PAGEREF _Toc165109322 \h </w:instrText>
            </w:r>
            <w:r w:rsidR="0058155A">
              <w:rPr>
                <w:noProof/>
                <w:webHidden/>
              </w:rPr>
            </w:r>
            <w:r w:rsidR="0058155A">
              <w:rPr>
                <w:noProof/>
                <w:webHidden/>
              </w:rPr>
              <w:fldChar w:fldCharType="separate"/>
            </w:r>
            <w:r w:rsidR="0058155A">
              <w:rPr>
                <w:noProof/>
                <w:webHidden/>
              </w:rPr>
              <w:t>15</w:t>
            </w:r>
            <w:r w:rsidR="0058155A">
              <w:rPr>
                <w:noProof/>
                <w:webHidden/>
              </w:rPr>
              <w:fldChar w:fldCharType="end"/>
            </w:r>
          </w:hyperlink>
        </w:p>
        <w:p w14:paraId="11EDA79A" w14:textId="7540A9BF" w:rsidR="0058155A" w:rsidRDefault="008A56FF">
          <w:pPr>
            <w:pStyle w:val="TOC3"/>
            <w:tabs>
              <w:tab w:val="right" w:leader="dot" w:pos="9465"/>
            </w:tabs>
            <w:rPr>
              <w:rFonts w:asciiTheme="minorHAnsi" w:eastAsiaTheme="minorEastAsia" w:hAnsiTheme="minorHAnsi"/>
              <w:noProof/>
              <w:kern w:val="2"/>
              <w:sz w:val="24"/>
              <w:szCs w:val="24"/>
              <w:lang w:eastAsia="en-GB"/>
              <w14:ligatures w14:val="standardContextual"/>
            </w:rPr>
          </w:pPr>
          <w:hyperlink w:anchor="_Toc165109323" w:history="1">
            <w:r w:rsidR="0058155A" w:rsidRPr="00EE54FF">
              <w:rPr>
                <w:rStyle w:val="Hyperlink"/>
                <w:noProof/>
              </w:rPr>
              <w:t>Finding 3: Timeliness in decision-making</w:t>
            </w:r>
            <w:r w:rsidR="0058155A">
              <w:rPr>
                <w:noProof/>
                <w:webHidden/>
              </w:rPr>
              <w:tab/>
            </w:r>
            <w:r w:rsidR="0058155A">
              <w:rPr>
                <w:noProof/>
                <w:webHidden/>
              </w:rPr>
              <w:fldChar w:fldCharType="begin"/>
            </w:r>
            <w:r w:rsidR="0058155A">
              <w:rPr>
                <w:noProof/>
                <w:webHidden/>
              </w:rPr>
              <w:instrText xml:space="preserve"> PAGEREF _Toc165109323 \h </w:instrText>
            </w:r>
            <w:r w:rsidR="0058155A">
              <w:rPr>
                <w:noProof/>
                <w:webHidden/>
              </w:rPr>
            </w:r>
            <w:r w:rsidR="0058155A">
              <w:rPr>
                <w:noProof/>
                <w:webHidden/>
              </w:rPr>
              <w:fldChar w:fldCharType="separate"/>
            </w:r>
            <w:r w:rsidR="0058155A">
              <w:rPr>
                <w:noProof/>
                <w:webHidden/>
              </w:rPr>
              <w:t>17</w:t>
            </w:r>
            <w:r w:rsidR="0058155A">
              <w:rPr>
                <w:noProof/>
                <w:webHidden/>
              </w:rPr>
              <w:fldChar w:fldCharType="end"/>
            </w:r>
          </w:hyperlink>
        </w:p>
        <w:p w14:paraId="65438CA5" w14:textId="7C97D61C" w:rsidR="0058155A" w:rsidRDefault="008A56FF">
          <w:pPr>
            <w:pStyle w:val="TOC2"/>
            <w:tabs>
              <w:tab w:val="right" w:leader="dot" w:pos="9465"/>
            </w:tabs>
            <w:rPr>
              <w:rFonts w:asciiTheme="minorHAnsi" w:eastAsiaTheme="minorEastAsia" w:hAnsiTheme="minorHAnsi"/>
              <w:noProof/>
              <w:kern w:val="2"/>
              <w:sz w:val="24"/>
              <w:szCs w:val="24"/>
              <w:lang w:eastAsia="en-GB"/>
              <w14:ligatures w14:val="standardContextual"/>
            </w:rPr>
          </w:pPr>
          <w:hyperlink w:anchor="_Toc165109324" w:history="1">
            <w:r w:rsidR="0058155A" w:rsidRPr="00EE54FF">
              <w:rPr>
                <w:rStyle w:val="Hyperlink"/>
                <w:noProof/>
              </w:rPr>
              <w:t>TOR 4: Information sharing around risk management</w:t>
            </w:r>
            <w:r w:rsidR="0058155A">
              <w:rPr>
                <w:noProof/>
                <w:webHidden/>
              </w:rPr>
              <w:tab/>
            </w:r>
            <w:r w:rsidR="0058155A">
              <w:rPr>
                <w:noProof/>
                <w:webHidden/>
              </w:rPr>
              <w:fldChar w:fldCharType="begin"/>
            </w:r>
            <w:r w:rsidR="0058155A">
              <w:rPr>
                <w:noProof/>
                <w:webHidden/>
              </w:rPr>
              <w:instrText xml:space="preserve"> PAGEREF _Toc165109324 \h </w:instrText>
            </w:r>
            <w:r w:rsidR="0058155A">
              <w:rPr>
                <w:noProof/>
                <w:webHidden/>
              </w:rPr>
            </w:r>
            <w:r w:rsidR="0058155A">
              <w:rPr>
                <w:noProof/>
                <w:webHidden/>
              </w:rPr>
              <w:fldChar w:fldCharType="separate"/>
            </w:r>
            <w:r w:rsidR="0058155A">
              <w:rPr>
                <w:noProof/>
                <w:webHidden/>
              </w:rPr>
              <w:t>18</w:t>
            </w:r>
            <w:r w:rsidR="0058155A">
              <w:rPr>
                <w:noProof/>
                <w:webHidden/>
              </w:rPr>
              <w:fldChar w:fldCharType="end"/>
            </w:r>
          </w:hyperlink>
        </w:p>
        <w:p w14:paraId="6B777DA4" w14:textId="28D99625" w:rsidR="0058155A" w:rsidRDefault="008A56FF">
          <w:pPr>
            <w:pStyle w:val="TOC3"/>
            <w:tabs>
              <w:tab w:val="right" w:leader="dot" w:pos="9465"/>
            </w:tabs>
            <w:rPr>
              <w:rFonts w:asciiTheme="minorHAnsi" w:eastAsiaTheme="minorEastAsia" w:hAnsiTheme="minorHAnsi"/>
              <w:noProof/>
              <w:kern w:val="2"/>
              <w:sz w:val="24"/>
              <w:szCs w:val="24"/>
              <w:lang w:eastAsia="en-GB"/>
              <w14:ligatures w14:val="standardContextual"/>
            </w:rPr>
          </w:pPr>
          <w:hyperlink w:anchor="_Toc165109325" w:history="1">
            <w:r w:rsidR="0058155A" w:rsidRPr="00EE54FF">
              <w:rPr>
                <w:rStyle w:val="Hyperlink"/>
                <w:noProof/>
              </w:rPr>
              <w:t>Finding 4a: Precision in self-neglect referrals</w:t>
            </w:r>
            <w:r w:rsidR="0058155A">
              <w:rPr>
                <w:noProof/>
                <w:webHidden/>
              </w:rPr>
              <w:tab/>
            </w:r>
            <w:r w:rsidR="0058155A">
              <w:rPr>
                <w:noProof/>
                <w:webHidden/>
              </w:rPr>
              <w:fldChar w:fldCharType="begin"/>
            </w:r>
            <w:r w:rsidR="0058155A">
              <w:rPr>
                <w:noProof/>
                <w:webHidden/>
              </w:rPr>
              <w:instrText xml:space="preserve"> PAGEREF _Toc165109325 \h </w:instrText>
            </w:r>
            <w:r w:rsidR="0058155A">
              <w:rPr>
                <w:noProof/>
                <w:webHidden/>
              </w:rPr>
            </w:r>
            <w:r w:rsidR="0058155A">
              <w:rPr>
                <w:noProof/>
                <w:webHidden/>
              </w:rPr>
              <w:fldChar w:fldCharType="separate"/>
            </w:r>
            <w:r w:rsidR="0058155A">
              <w:rPr>
                <w:noProof/>
                <w:webHidden/>
              </w:rPr>
              <w:t>19</w:t>
            </w:r>
            <w:r w:rsidR="0058155A">
              <w:rPr>
                <w:noProof/>
                <w:webHidden/>
              </w:rPr>
              <w:fldChar w:fldCharType="end"/>
            </w:r>
          </w:hyperlink>
        </w:p>
        <w:p w14:paraId="621BE567" w14:textId="18C8A185" w:rsidR="0058155A" w:rsidRDefault="008A56FF">
          <w:pPr>
            <w:pStyle w:val="TOC3"/>
            <w:tabs>
              <w:tab w:val="right" w:leader="dot" w:pos="9465"/>
            </w:tabs>
            <w:rPr>
              <w:rFonts w:asciiTheme="minorHAnsi" w:eastAsiaTheme="minorEastAsia" w:hAnsiTheme="minorHAnsi"/>
              <w:noProof/>
              <w:kern w:val="2"/>
              <w:sz w:val="24"/>
              <w:szCs w:val="24"/>
              <w:lang w:eastAsia="en-GB"/>
              <w14:ligatures w14:val="standardContextual"/>
            </w:rPr>
          </w:pPr>
          <w:hyperlink w:anchor="_Toc165109326" w:history="1">
            <w:r w:rsidR="0058155A" w:rsidRPr="00EE54FF">
              <w:rPr>
                <w:rStyle w:val="Hyperlink"/>
                <w:noProof/>
              </w:rPr>
              <w:t>Finding 4b: Multi-agency risk management</w:t>
            </w:r>
            <w:r w:rsidR="0058155A">
              <w:rPr>
                <w:noProof/>
                <w:webHidden/>
              </w:rPr>
              <w:tab/>
            </w:r>
            <w:r w:rsidR="0058155A">
              <w:rPr>
                <w:noProof/>
                <w:webHidden/>
              </w:rPr>
              <w:fldChar w:fldCharType="begin"/>
            </w:r>
            <w:r w:rsidR="0058155A">
              <w:rPr>
                <w:noProof/>
                <w:webHidden/>
              </w:rPr>
              <w:instrText xml:space="preserve"> PAGEREF _Toc165109326 \h </w:instrText>
            </w:r>
            <w:r w:rsidR="0058155A">
              <w:rPr>
                <w:noProof/>
                <w:webHidden/>
              </w:rPr>
            </w:r>
            <w:r w:rsidR="0058155A">
              <w:rPr>
                <w:noProof/>
                <w:webHidden/>
              </w:rPr>
              <w:fldChar w:fldCharType="separate"/>
            </w:r>
            <w:r w:rsidR="0058155A">
              <w:rPr>
                <w:noProof/>
                <w:webHidden/>
              </w:rPr>
              <w:t>20</w:t>
            </w:r>
            <w:r w:rsidR="0058155A">
              <w:rPr>
                <w:noProof/>
                <w:webHidden/>
              </w:rPr>
              <w:fldChar w:fldCharType="end"/>
            </w:r>
          </w:hyperlink>
        </w:p>
        <w:p w14:paraId="633C7EC0" w14:textId="6DA1F9D6" w:rsidR="0058155A" w:rsidRDefault="008A56FF">
          <w:pPr>
            <w:pStyle w:val="TOC2"/>
            <w:tabs>
              <w:tab w:val="right" w:leader="dot" w:pos="9465"/>
            </w:tabs>
            <w:rPr>
              <w:rFonts w:asciiTheme="minorHAnsi" w:eastAsiaTheme="minorEastAsia" w:hAnsiTheme="minorHAnsi"/>
              <w:noProof/>
              <w:kern w:val="2"/>
              <w:sz w:val="24"/>
              <w:szCs w:val="24"/>
              <w:lang w:eastAsia="en-GB"/>
              <w14:ligatures w14:val="standardContextual"/>
            </w:rPr>
          </w:pPr>
          <w:hyperlink w:anchor="_Toc165109327" w:history="1">
            <w:r w:rsidR="0058155A" w:rsidRPr="00EE54FF">
              <w:rPr>
                <w:rStyle w:val="Hyperlink"/>
                <w:noProof/>
              </w:rPr>
              <w:t>TOR 5: Community Pharmacy role in safeguarding process</w:t>
            </w:r>
            <w:r w:rsidR="0058155A">
              <w:rPr>
                <w:noProof/>
                <w:webHidden/>
              </w:rPr>
              <w:tab/>
            </w:r>
            <w:r w:rsidR="0058155A">
              <w:rPr>
                <w:noProof/>
                <w:webHidden/>
              </w:rPr>
              <w:fldChar w:fldCharType="begin"/>
            </w:r>
            <w:r w:rsidR="0058155A">
              <w:rPr>
                <w:noProof/>
                <w:webHidden/>
              </w:rPr>
              <w:instrText xml:space="preserve"> PAGEREF _Toc165109327 \h </w:instrText>
            </w:r>
            <w:r w:rsidR="0058155A">
              <w:rPr>
                <w:noProof/>
                <w:webHidden/>
              </w:rPr>
            </w:r>
            <w:r w:rsidR="0058155A">
              <w:rPr>
                <w:noProof/>
                <w:webHidden/>
              </w:rPr>
              <w:fldChar w:fldCharType="separate"/>
            </w:r>
            <w:r w:rsidR="0058155A">
              <w:rPr>
                <w:noProof/>
                <w:webHidden/>
              </w:rPr>
              <w:t>21</w:t>
            </w:r>
            <w:r w:rsidR="0058155A">
              <w:rPr>
                <w:noProof/>
                <w:webHidden/>
              </w:rPr>
              <w:fldChar w:fldCharType="end"/>
            </w:r>
          </w:hyperlink>
        </w:p>
        <w:p w14:paraId="22D77FE4" w14:textId="36B37CC1" w:rsidR="0058155A" w:rsidRDefault="008A56FF">
          <w:pPr>
            <w:pStyle w:val="TOC3"/>
            <w:tabs>
              <w:tab w:val="right" w:leader="dot" w:pos="9465"/>
            </w:tabs>
            <w:rPr>
              <w:rFonts w:asciiTheme="minorHAnsi" w:eastAsiaTheme="minorEastAsia" w:hAnsiTheme="minorHAnsi"/>
              <w:noProof/>
              <w:kern w:val="2"/>
              <w:sz w:val="24"/>
              <w:szCs w:val="24"/>
              <w:lang w:eastAsia="en-GB"/>
              <w14:ligatures w14:val="standardContextual"/>
            </w:rPr>
          </w:pPr>
          <w:hyperlink w:anchor="_Toc165109328" w:history="1">
            <w:r w:rsidR="0058155A" w:rsidRPr="00EE54FF">
              <w:rPr>
                <w:rStyle w:val="Hyperlink"/>
                <w:noProof/>
              </w:rPr>
              <w:t>Finding 5: The use of Safeguarding Specialists in Safeguarding processes</w:t>
            </w:r>
            <w:r w:rsidR="0058155A">
              <w:rPr>
                <w:noProof/>
                <w:webHidden/>
              </w:rPr>
              <w:tab/>
            </w:r>
            <w:r w:rsidR="0058155A">
              <w:rPr>
                <w:noProof/>
                <w:webHidden/>
              </w:rPr>
              <w:fldChar w:fldCharType="begin"/>
            </w:r>
            <w:r w:rsidR="0058155A">
              <w:rPr>
                <w:noProof/>
                <w:webHidden/>
              </w:rPr>
              <w:instrText xml:space="preserve"> PAGEREF _Toc165109328 \h </w:instrText>
            </w:r>
            <w:r w:rsidR="0058155A">
              <w:rPr>
                <w:noProof/>
                <w:webHidden/>
              </w:rPr>
            </w:r>
            <w:r w:rsidR="0058155A">
              <w:rPr>
                <w:noProof/>
                <w:webHidden/>
              </w:rPr>
              <w:fldChar w:fldCharType="separate"/>
            </w:r>
            <w:r w:rsidR="0058155A">
              <w:rPr>
                <w:noProof/>
                <w:webHidden/>
              </w:rPr>
              <w:t>22</w:t>
            </w:r>
            <w:r w:rsidR="0058155A">
              <w:rPr>
                <w:noProof/>
                <w:webHidden/>
              </w:rPr>
              <w:fldChar w:fldCharType="end"/>
            </w:r>
          </w:hyperlink>
        </w:p>
        <w:p w14:paraId="40521622" w14:textId="029BCBDD" w:rsidR="0058155A" w:rsidRDefault="008A56FF">
          <w:pPr>
            <w:pStyle w:val="TOC2"/>
            <w:tabs>
              <w:tab w:val="right" w:leader="dot" w:pos="9465"/>
            </w:tabs>
            <w:rPr>
              <w:rFonts w:asciiTheme="minorHAnsi" w:eastAsiaTheme="minorEastAsia" w:hAnsiTheme="minorHAnsi"/>
              <w:noProof/>
              <w:kern w:val="2"/>
              <w:sz w:val="24"/>
              <w:szCs w:val="24"/>
              <w:lang w:eastAsia="en-GB"/>
              <w14:ligatures w14:val="standardContextual"/>
            </w:rPr>
          </w:pPr>
          <w:hyperlink w:anchor="_Toc165109329" w:history="1">
            <w:r w:rsidR="0058155A" w:rsidRPr="00EE54FF">
              <w:rPr>
                <w:rStyle w:val="Hyperlink"/>
                <w:noProof/>
              </w:rPr>
              <w:t>TOR 6: People with additional needs</w:t>
            </w:r>
            <w:r w:rsidR="0058155A">
              <w:rPr>
                <w:noProof/>
                <w:webHidden/>
              </w:rPr>
              <w:tab/>
            </w:r>
            <w:r w:rsidR="0058155A">
              <w:rPr>
                <w:noProof/>
                <w:webHidden/>
              </w:rPr>
              <w:fldChar w:fldCharType="begin"/>
            </w:r>
            <w:r w:rsidR="0058155A">
              <w:rPr>
                <w:noProof/>
                <w:webHidden/>
              </w:rPr>
              <w:instrText xml:space="preserve"> PAGEREF _Toc165109329 \h </w:instrText>
            </w:r>
            <w:r w:rsidR="0058155A">
              <w:rPr>
                <w:noProof/>
                <w:webHidden/>
              </w:rPr>
            </w:r>
            <w:r w:rsidR="0058155A">
              <w:rPr>
                <w:noProof/>
                <w:webHidden/>
              </w:rPr>
              <w:fldChar w:fldCharType="separate"/>
            </w:r>
            <w:r w:rsidR="0058155A">
              <w:rPr>
                <w:noProof/>
                <w:webHidden/>
              </w:rPr>
              <w:t>23</w:t>
            </w:r>
            <w:r w:rsidR="0058155A">
              <w:rPr>
                <w:noProof/>
                <w:webHidden/>
              </w:rPr>
              <w:fldChar w:fldCharType="end"/>
            </w:r>
          </w:hyperlink>
        </w:p>
        <w:p w14:paraId="2827FB0F" w14:textId="1B81930E" w:rsidR="0058155A" w:rsidRDefault="008A56FF">
          <w:pPr>
            <w:pStyle w:val="TOC3"/>
            <w:tabs>
              <w:tab w:val="right" w:leader="dot" w:pos="9465"/>
            </w:tabs>
            <w:rPr>
              <w:rFonts w:asciiTheme="minorHAnsi" w:eastAsiaTheme="minorEastAsia" w:hAnsiTheme="minorHAnsi"/>
              <w:noProof/>
              <w:kern w:val="2"/>
              <w:sz w:val="24"/>
              <w:szCs w:val="24"/>
              <w:lang w:eastAsia="en-GB"/>
              <w14:ligatures w14:val="standardContextual"/>
            </w:rPr>
          </w:pPr>
          <w:hyperlink w:anchor="_Toc165109330" w:history="1">
            <w:r w:rsidR="0058155A" w:rsidRPr="00EE54FF">
              <w:rPr>
                <w:rStyle w:val="Hyperlink"/>
                <w:noProof/>
              </w:rPr>
              <w:t>Finding 6: Choice or ability to engage?</w:t>
            </w:r>
            <w:r w:rsidR="0058155A">
              <w:rPr>
                <w:noProof/>
                <w:webHidden/>
              </w:rPr>
              <w:tab/>
            </w:r>
            <w:r w:rsidR="0058155A">
              <w:rPr>
                <w:noProof/>
                <w:webHidden/>
              </w:rPr>
              <w:fldChar w:fldCharType="begin"/>
            </w:r>
            <w:r w:rsidR="0058155A">
              <w:rPr>
                <w:noProof/>
                <w:webHidden/>
              </w:rPr>
              <w:instrText xml:space="preserve"> PAGEREF _Toc165109330 \h </w:instrText>
            </w:r>
            <w:r w:rsidR="0058155A">
              <w:rPr>
                <w:noProof/>
                <w:webHidden/>
              </w:rPr>
            </w:r>
            <w:r w:rsidR="0058155A">
              <w:rPr>
                <w:noProof/>
                <w:webHidden/>
              </w:rPr>
              <w:fldChar w:fldCharType="separate"/>
            </w:r>
            <w:r w:rsidR="0058155A">
              <w:rPr>
                <w:noProof/>
                <w:webHidden/>
              </w:rPr>
              <w:t>24</w:t>
            </w:r>
            <w:r w:rsidR="0058155A">
              <w:rPr>
                <w:noProof/>
                <w:webHidden/>
              </w:rPr>
              <w:fldChar w:fldCharType="end"/>
            </w:r>
          </w:hyperlink>
        </w:p>
        <w:p w14:paraId="20D726B9" w14:textId="7F1AF272" w:rsidR="0058155A" w:rsidRDefault="008A56FF">
          <w:pPr>
            <w:pStyle w:val="TOC2"/>
            <w:tabs>
              <w:tab w:val="right" w:leader="dot" w:pos="9465"/>
            </w:tabs>
            <w:rPr>
              <w:rFonts w:asciiTheme="minorHAnsi" w:eastAsiaTheme="minorEastAsia" w:hAnsiTheme="minorHAnsi"/>
              <w:noProof/>
              <w:kern w:val="2"/>
              <w:sz w:val="24"/>
              <w:szCs w:val="24"/>
              <w:lang w:eastAsia="en-GB"/>
              <w14:ligatures w14:val="standardContextual"/>
            </w:rPr>
          </w:pPr>
          <w:hyperlink w:anchor="_Toc165109331" w:history="1">
            <w:r w:rsidR="0058155A" w:rsidRPr="00EE54FF">
              <w:rPr>
                <w:rStyle w:val="Hyperlink"/>
                <w:noProof/>
              </w:rPr>
              <w:t>TOR 7: Professional curiosity in risk management</w:t>
            </w:r>
            <w:r w:rsidR="0058155A">
              <w:rPr>
                <w:noProof/>
                <w:webHidden/>
              </w:rPr>
              <w:tab/>
            </w:r>
            <w:r w:rsidR="0058155A">
              <w:rPr>
                <w:noProof/>
                <w:webHidden/>
              </w:rPr>
              <w:fldChar w:fldCharType="begin"/>
            </w:r>
            <w:r w:rsidR="0058155A">
              <w:rPr>
                <w:noProof/>
                <w:webHidden/>
              </w:rPr>
              <w:instrText xml:space="preserve"> PAGEREF _Toc165109331 \h </w:instrText>
            </w:r>
            <w:r w:rsidR="0058155A">
              <w:rPr>
                <w:noProof/>
                <w:webHidden/>
              </w:rPr>
            </w:r>
            <w:r w:rsidR="0058155A">
              <w:rPr>
                <w:noProof/>
                <w:webHidden/>
              </w:rPr>
              <w:fldChar w:fldCharType="separate"/>
            </w:r>
            <w:r w:rsidR="0058155A">
              <w:rPr>
                <w:noProof/>
                <w:webHidden/>
              </w:rPr>
              <w:t>25</w:t>
            </w:r>
            <w:r w:rsidR="0058155A">
              <w:rPr>
                <w:noProof/>
                <w:webHidden/>
              </w:rPr>
              <w:fldChar w:fldCharType="end"/>
            </w:r>
          </w:hyperlink>
        </w:p>
        <w:p w14:paraId="78F54A7D" w14:textId="44DC7062" w:rsidR="0058155A" w:rsidRDefault="008A56FF">
          <w:pPr>
            <w:pStyle w:val="TOC1"/>
            <w:rPr>
              <w:rFonts w:asciiTheme="minorHAnsi" w:eastAsiaTheme="minorEastAsia" w:hAnsiTheme="minorHAnsi"/>
              <w:b w:val="0"/>
              <w:noProof/>
              <w:kern w:val="2"/>
              <w:sz w:val="24"/>
              <w:szCs w:val="24"/>
              <w:lang w:eastAsia="en-GB"/>
              <w14:ligatures w14:val="standardContextual"/>
            </w:rPr>
          </w:pPr>
          <w:hyperlink w:anchor="_Toc165109332" w:history="1">
            <w:r w:rsidR="0058155A" w:rsidRPr="00EE54FF">
              <w:rPr>
                <w:rStyle w:val="Hyperlink"/>
                <w:noProof/>
              </w:rPr>
              <w:t>Summary of Findings and Questions for the Board</w:t>
            </w:r>
            <w:r w:rsidR="0058155A">
              <w:rPr>
                <w:noProof/>
                <w:webHidden/>
              </w:rPr>
              <w:tab/>
            </w:r>
            <w:r w:rsidR="0058155A">
              <w:rPr>
                <w:noProof/>
                <w:webHidden/>
              </w:rPr>
              <w:fldChar w:fldCharType="begin"/>
            </w:r>
            <w:r w:rsidR="0058155A">
              <w:rPr>
                <w:noProof/>
                <w:webHidden/>
              </w:rPr>
              <w:instrText xml:space="preserve"> PAGEREF _Toc165109332 \h </w:instrText>
            </w:r>
            <w:r w:rsidR="0058155A">
              <w:rPr>
                <w:noProof/>
                <w:webHidden/>
              </w:rPr>
            </w:r>
            <w:r w:rsidR="0058155A">
              <w:rPr>
                <w:noProof/>
                <w:webHidden/>
              </w:rPr>
              <w:fldChar w:fldCharType="separate"/>
            </w:r>
            <w:r w:rsidR="0058155A">
              <w:rPr>
                <w:noProof/>
                <w:webHidden/>
              </w:rPr>
              <w:t>26</w:t>
            </w:r>
            <w:r w:rsidR="0058155A">
              <w:rPr>
                <w:noProof/>
                <w:webHidden/>
              </w:rPr>
              <w:fldChar w:fldCharType="end"/>
            </w:r>
          </w:hyperlink>
        </w:p>
        <w:p w14:paraId="7537A1F5" w14:textId="6B4BAAD2" w:rsidR="0058155A" w:rsidRDefault="008A56FF">
          <w:pPr>
            <w:pStyle w:val="TOC1"/>
            <w:rPr>
              <w:rFonts w:asciiTheme="minorHAnsi" w:eastAsiaTheme="minorEastAsia" w:hAnsiTheme="minorHAnsi"/>
              <w:b w:val="0"/>
              <w:noProof/>
              <w:kern w:val="2"/>
              <w:sz w:val="24"/>
              <w:szCs w:val="24"/>
              <w:lang w:eastAsia="en-GB"/>
              <w14:ligatures w14:val="standardContextual"/>
            </w:rPr>
          </w:pPr>
          <w:hyperlink w:anchor="_Toc165109333" w:history="1">
            <w:r w:rsidR="0058155A" w:rsidRPr="00EE54FF">
              <w:rPr>
                <w:rStyle w:val="Hyperlink"/>
                <w:noProof/>
              </w:rPr>
              <w:t>References</w:t>
            </w:r>
            <w:r w:rsidR="0058155A">
              <w:rPr>
                <w:noProof/>
                <w:webHidden/>
              </w:rPr>
              <w:tab/>
            </w:r>
            <w:r w:rsidR="0058155A">
              <w:rPr>
                <w:noProof/>
                <w:webHidden/>
              </w:rPr>
              <w:fldChar w:fldCharType="begin"/>
            </w:r>
            <w:r w:rsidR="0058155A">
              <w:rPr>
                <w:noProof/>
                <w:webHidden/>
              </w:rPr>
              <w:instrText xml:space="preserve"> PAGEREF _Toc165109333 \h </w:instrText>
            </w:r>
            <w:r w:rsidR="0058155A">
              <w:rPr>
                <w:noProof/>
                <w:webHidden/>
              </w:rPr>
            </w:r>
            <w:r w:rsidR="0058155A">
              <w:rPr>
                <w:noProof/>
                <w:webHidden/>
              </w:rPr>
              <w:fldChar w:fldCharType="separate"/>
            </w:r>
            <w:r w:rsidR="0058155A">
              <w:rPr>
                <w:noProof/>
                <w:webHidden/>
              </w:rPr>
              <w:t>28</w:t>
            </w:r>
            <w:r w:rsidR="0058155A">
              <w:rPr>
                <w:noProof/>
                <w:webHidden/>
              </w:rPr>
              <w:fldChar w:fldCharType="end"/>
            </w:r>
          </w:hyperlink>
        </w:p>
        <w:p w14:paraId="1150E919" w14:textId="724D1A47" w:rsidR="00200762" w:rsidRDefault="00E26EE1" w:rsidP="00265D02">
          <w:r>
            <w:rPr>
              <w:b/>
              <w:bCs/>
            </w:rPr>
            <w:fldChar w:fldCharType="end"/>
          </w:r>
        </w:p>
      </w:sdtContent>
    </w:sdt>
    <w:p w14:paraId="0BE546A5" w14:textId="77777777" w:rsidR="00B508C9" w:rsidRDefault="00B508C9">
      <w:pPr>
        <w:spacing w:after="160" w:line="259" w:lineRule="auto"/>
        <w:rPr>
          <w:rFonts w:eastAsiaTheme="majorEastAsia" w:cstheme="majorBidi"/>
          <w:caps/>
          <w:color w:val="660066"/>
          <w:sz w:val="28"/>
          <w:szCs w:val="32"/>
        </w:rPr>
      </w:pPr>
      <w:r>
        <w:br w:type="page"/>
      </w:r>
    </w:p>
    <w:p w14:paraId="320C3FE0" w14:textId="62770AC6" w:rsidR="00CA28A1" w:rsidRPr="002F376B" w:rsidRDefault="00CA28A1" w:rsidP="002F376B">
      <w:pPr>
        <w:pStyle w:val="Heading1"/>
      </w:pPr>
      <w:bookmarkStart w:id="0" w:name="_Toc165109307"/>
      <w:r w:rsidRPr="00CA28A1">
        <w:t>Introduction</w:t>
      </w:r>
      <w:bookmarkEnd w:id="0"/>
    </w:p>
    <w:p w14:paraId="15387C6D" w14:textId="2023E3F9" w:rsidR="005F7C06" w:rsidRDefault="00945582" w:rsidP="005F7C06">
      <w:r w:rsidRPr="00945582">
        <w:t>“Local Safeguarding Adults Boards must arrange a Safeguarding Adults Review when an adult in its area dies as a result of abuse or neglect, whether known or suspected, and there is a concern that partner agencies could have worked more effectively to protect the adult</w:t>
      </w:r>
      <w:r w:rsidR="00C746E3">
        <w:t xml:space="preserve"> </w:t>
      </w:r>
      <w:r w:rsidR="00784F44">
        <w:t>[</w:t>
      </w:r>
      <w:r w:rsidRPr="00945582">
        <w:t>…</w:t>
      </w:r>
      <w:r w:rsidR="00784F44">
        <w:t>]</w:t>
      </w:r>
      <w:r w:rsidRPr="00945582">
        <w:t xml:space="preserve"> Safeguarding Adults Boards are free to arrange for a Safeguarding Adults Review in any other situations involving an adult in its area with needs for care and support”</w:t>
      </w:r>
      <w:sdt>
        <w:sdtPr>
          <w:id w:val="-1259751211"/>
          <w:citation/>
        </w:sdtPr>
        <w:sdtEndPr/>
        <w:sdtContent>
          <w:r>
            <w:fldChar w:fldCharType="begin"/>
          </w:r>
          <w:r>
            <w:instrText xml:space="preserve"> CITATION Placeholder2 \l 2057 </w:instrText>
          </w:r>
          <w:r>
            <w:fldChar w:fldCharType="separate"/>
          </w:r>
          <w:r w:rsidR="00094ACC">
            <w:rPr>
              <w:noProof/>
            </w:rPr>
            <w:t xml:space="preserve"> (DHSC, 2023)</w:t>
          </w:r>
          <w:r>
            <w:fldChar w:fldCharType="end"/>
          </w:r>
        </w:sdtContent>
      </w:sdt>
      <w:r w:rsidR="005F7C06">
        <w:t xml:space="preserve">. </w:t>
      </w:r>
      <w:r w:rsidR="004F18F8">
        <w:t xml:space="preserve">Safeguarding Adults Reviews, both mandatory and </w:t>
      </w:r>
      <w:r w:rsidR="005F7C06">
        <w:t xml:space="preserve">discretionary </w:t>
      </w:r>
      <w:r w:rsidR="004F18F8">
        <w:t>are statutory reviews, carried out under section 44 Care Act 2014 and Care and Support Guidance.</w:t>
      </w:r>
    </w:p>
    <w:p w14:paraId="330A2E1A" w14:textId="77777777" w:rsidR="005F7C06" w:rsidRDefault="005F7C06" w:rsidP="005F7C06"/>
    <w:p w14:paraId="6D731E28" w14:textId="5FF7C00C" w:rsidR="00B7331B" w:rsidRDefault="005F7C06" w:rsidP="00D832C6">
      <w:r>
        <w:t xml:space="preserve">The purpose of a Safeguarding Adult Review (SAR) is to determine what the relevant agencies and individuals involved in this case might have done differently that could have prevented </w:t>
      </w:r>
      <w:r w:rsidR="00563C51">
        <w:t>Francis</w:t>
      </w:r>
      <w:r>
        <w:t xml:space="preserve">’ death. This is so that lessons can be learned from the case and those lessons applied in practice to prevent similar harm occurring again. Salford Safeguarding Adults Board considered the case of </w:t>
      </w:r>
      <w:r w:rsidR="00563C51">
        <w:t>Francis</w:t>
      </w:r>
      <w:r>
        <w:t xml:space="preserve"> who died in 2022. </w:t>
      </w:r>
      <w:r w:rsidR="00563C51">
        <w:t>Francis</w:t>
      </w:r>
      <w:r>
        <w:t xml:space="preserve"> had been known to a number of agencies and following their death it was felt that agencies could have worked together more effectively to support them. </w:t>
      </w:r>
      <w:r w:rsidR="003B31DC">
        <w:t>T</w:t>
      </w:r>
      <w:r>
        <w:t>he Salford Safeguarding Adults (SAR) Panel agreed that</w:t>
      </w:r>
      <w:r w:rsidR="00563C51">
        <w:t xml:space="preserve"> Francis’</w:t>
      </w:r>
      <w:r>
        <w:t xml:space="preserve"> case met the criteria for a Discretionary Safeguarding Adults Review. An Independent Reviewer was commissioned, and a Discretionary Safeguarding Adults Review. </w:t>
      </w:r>
    </w:p>
    <w:p w14:paraId="0A00E313" w14:textId="3C267F83" w:rsidR="003230CC" w:rsidRDefault="003230CC" w:rsidP="00A16C70">
      <w:pPr>
        <w:pStyle w:val="Heading2"/>
      </w:pPr>
      <w:bookmarkStart w:id="1" w:name="_Toc165109308"/>
      <w:r>
        <w:t>Background</w:t>
      </w:r>
      <w:r w:rsidR="001A7A91">
        <w:t xml:space="preserve"> to the case</w:t>
      </w:r>
      <w:bookmarkEnd w:id="1"/>
    </w:p>
    <w:p w14:paraId="369D3FB0" w14:textId="44F415F8" w:rsidR="00270A90" w:rsidRDefault="00563C51" w:rsidP="00270A90">
      <w:r>
        <w:t>Francis</w:t>
      </w:r>
      <w:r w:rsidR="00270A90">
        <w:t xml:space="preserve"> was a white British male who was </w:t>
      </w:r>
      <w:r w:rsidR="003B31DC">
        <w:t xml:space="preserve">in his </w:t>
      </w:r>
      <w:proofErr w:type="spellStart"/>
      <w:r w:rsidR="003B31DC">
        <w:t>50’s</w:t>
      </w:r>
      <w:proofErr w:type="spellEnd"/>
      <w:r w:rsidR="00270A90">
        <w:t xml:space="preserve"> at the time of his death. </w:t>
      </w:r>
      <w:r>
        <w:t>Francis</w:t>
      </w:r>
      <w:r w:rsidR="00270A90">
        <w:t xml:space="preserve"> lived alone and had limited contact with his family. </w:t>
      </w:r>
      <w:r>
        <w:t>Francis</w:t>
      </w:r>
      <w:r w:rsidR="00270A90">
        <w:t xml:space="preserve"> did not have a partner</w:t>
      </w:r>
      <w:r>
        <w:t>,</w:t>
      </w:r>
      <w:r w:rsidR="00270A90">
        <w:t xml:space="preserve"> or children</w:t>
      </w:r>
      <w:r w:rsidR="00F85503">
        <w:t xml:space="preserve"> and his social network consisted of </w:t>
      </w:r>
      <w:r w:rsidR="0047688E">
        <w:t>close friends and neighbours</w:t>
      </w:r>
      <w:r w:rsidR="00270A90">
        <w:t xml:space="preserve">. </w:t>
      </w:r>
      <w:r>
        <w:t>Francis</w:t>
      </w:r>
      <w:r w:rsidR="0047688E">
        <w:t xml:space="preserve"> received</w:t>
      </w:r>
      <w:r w:rsidR="00270A90">
        <w:t xml:space="preserve"> support </w:t>
      </w:r>
      <w:r w:rsidR="009F733B">
        <w:t xml:space="preserve">from within his social network, </w:t>
      </w:r>
      <w:r w:rsidR="00270A90">
        <w:t>in</w:t>
      </w:r>
      <w:r w:rsidR="009F733B">
        <w:t>cluding help with</w:t>
      </w:r>
      <w:r w:rsidR="00270A90">
        <w:t xml:space="preserve"> his home and </w:t>
      </w:r>
      <w:r w:rsidR="009F733B">
        <w:t>pets.</w:t>
      </w:r>
      <w:r w:rsidR="00270A90">
        <w:t xml:space="preserve"> </w:t>
      </w:r>
      <w:r w:rsidR="009F733B">
        <w:t>C</w:t>
      </w:r>
      <w:r w:rsidR="00270A90">
        <w:t xml:space="preserve">oncerns about </w:t>
      </w:r>
      <w:r>
        <w:t>Francis</w:t>
      </w:r>
      <w:r w:rsidR="00270A90">
        <w:t xml:space="preserve">’ vulnerability and risk of exploitation </w:t>
      </w:r>
      <w:r w:rsidR="009F733B">
        <w:t xml:space="preserve">were raised </w:t>
      </w:r>
      <w:r w:rsidR="00270A90">
        <w:t>by others</w:t>
      </w:r>
      <w:r w:rsidR="009F733B">
        <w:t xml:space="preserve"> in his network</w:t>
      </w:r>
      <w:r w:rsidR="00675589">
        <w:t xml:space="preserve"> </w:t>
      </w:r>
      <w:r w:rsidR="000C0F9C">
        <w:t>with</w:t>
      </w:r>
      <w:r w:rsidR="00270A90">
        <w:t xml:space="preserve"> concerns about the circumstances of his death.</w:t>
      </w:r>
    </w:p>
    <w:p w14:paraId="49A10852" w14:textId="77777777" w:rsidR="00270A90" w:rsidRDefault="00270A90" w:rsidP="00270A90"/>
    <w:p w14:paraId="7C418BC5" w14:textId="5C6AAD4C" w:rsidR="003425DF" w:rsidRDefault="00563C51" w:rsidP="00D832C6">
      <w:r>
        <w:t>Francis</w:t>
      </w:r>
      <w:r w:rsidR="00270A90">
        <w:t xml:space="preserve"> was known to be alcohol-dependent and use illicit substances including cocaine and cannabis. </w:t>
      </w:r>
      <w:r>
        <w:t>Francis’</w:t>
      </w:r>
      <w:r w:rsidR="00270A90">
        <w:t xml:space="preserve"> health conditions included traumatic brain injury and alcohol-related epilepsy. </w:t>
      </w:r>
      <w:r>
        <w:t>Francis</w:t>
      </w:r>
      <w:r w:rsidR="00270A90">
        <w:t xml:space="preserve"> had </w:t>
      </w:r>
      <w:r w:rsidR="00675589">
        <w:t>physical health problems</w:t>
      </w:r>
      <w:r w:rsidR="00270A90">
        <w:t xml:space="preserve"> and took pain medication for chronic neuropathic pain. </w:t>
      </w:r>
      <w:r>
        <w:t>Francis</w:t>
      </w:r>
      <w:r w:rsidR="00270A90">
        <w:t xml:space="preserve"> often presented to services with complaints of headaches, memory, and concentration problems, falls, and recurrent seizures. He was on regular anti-epileptic medication and was treated for hyponatraemia, a potentially life-threatening condition relating to low sodium, which is common in people who use alcohol to excess. </w:t>
      </w:r>
      <w:r w:rsidR="002946E0">
        <w:t xml:space="preserve">At the time of his death </w:t>
      </w:r>
      <w:r>
        <w:t>Francis</w:t>
      </w:r>
      <w:r w:rsidR="00270A90">
        <w:t xml:space="preserve"> </w:t>
      </w:r>
      <w:r w:rsidR="002946E0">
        <w:t xml:space="preserve">had been </w:t>
      </w:r>
      <w:r w:rsidR="00270A90">
        <w:t xml:space="preserve">admitted to Hospital following a potential drug overdose which resulted in </w:t>
      </w:r>
      <w:r>
        <w:t>Francis</w:t>
      </w:r>
      <w:r w:rsidR="00270A90">
        <w:t xml:space="preserve"> collapsing and suffering cardiac arrest and brain hypoxia. </w:t>
      </w:r>
      <w:r>
        <w:t>Francis</w:t>
      </w:r>
      <w:r w:rsidR="00270A90">
        <w:t xml:space="preserve"> died in hospital</w:t>
      </w:r>
      <w:r w:rsidR="002946E0">
        <w:t xml:space="preserve"> </w:t>
      </w:r>
      <w:r w:rsidR="008B06F9">
        <w:t>10 days later</w:t>
      </w:r>
      <w:r w:rsidR="00270A90">
        <w:t xml:space="preserve">. </w:t>
      </w:r>
    </w:p>
    <w:p w14:paraId="1A0F0D73" w14:textId="77777777" w:rsidR="001A7A91" w:rsidRPr="00A16C70" w:rsidRDefault="001A7A91" w:rsidP="00A16C70">
      <w:pPr>
        <w:pStyle w:val="Heading2"/>
      </w:pPr>
      <w:bookmarkStart w:id="2" w:name="_Toc54037546"/>
      <w:bookmarkStart w:id="3" w:name="_Toc165109309"/>
      <w:r w:rsidRPr="00CA28A1">
        <w:t>About the Reviewer</w:t>
      </w:r>
      <w:bookmarkEnd w:id="2"/>
      <w:bookmarkEnd w:id="3"/>
    </w:p>
    <w:p w14:paraId="5CA2CA55" w14:textId="502F5110" w:rsidR="003230CC" w:rsidRDefault="001A7A91" w:rsidP="00D832C6">
      <w:r w:rsidRPr="00CA28A1">
        <w:t>This Safeguarding Adults Review</w:t>
      </w:r>
      <w:r w:rsidR="00CA09D3">
        <w:t xml:space="preserve"> (discretionary)</w:t>
      </w:r>
      <w:r w:rsidRPr="00CA28A1">
        <w:t xml:space="preserve"> has been led by an Eliot Smith, an Independent Health and Social Care Consultant who has no previous involvement with this case, or prior connection to the Safeguarding Adults Board, or partner agencies.</w:t>
      </w:r>
    </w:p>
    <w:p w14:paraId="0D4040DA" w14:textId="77777777" w:rsidR="001E2864" w:rsidRPr="001E2864" w:rsidRDefault="001E2864" w:rsidP="00A16C70">
      <w:pPr>
        <w:pStyle w:val="Heading2"/>
      </w:pPr>
      <w:bookmarkStart w:id="4" w:name="_Toc40018799"/>
      <w:bookmarkStart w:id="5" w:name="_Toc40709210"/>
      <w:bookmarkStart w:id="6" w:name="_Toc165109310"/>
      <w:r w:rsidRPr="001E2864">
        <w:t>Organisational involvement</w:t>
      </w:r>
      <w:bookmarkEnd w:id="4"/>
      <w:bookmarkEnd w:id="5"/>
      <w:bookmarkEnd w:id="6"/>
    </w:p>
    <w:p w14:paraId="39C9E6B1" w14:textId="4D4C1128" w:rsidR="001E2864" w:rsidRPr="002B1023" w:rsidRDefault="0035243F" w:rsidP="001E2864">
      <w:pPr>
        <w:rPr>
          <w:lang w:val="en-US"/>
        </w:rPr>
      </w:pPr>
      <w:r>
        <w:t xml:space="preserve">Agencies across the </w:t>
      </w:r>
      <w:r w:rsidR="00346DC7">
        <w:t xml:space="preserve">Safeguarding Adults Board area </w:t>
      </w:r>
      <w:r>
        <w:t xml:space="preserve">contributed fully to the review, providing documentary evidence and attendance at learning events. Agencies were open in their approach and demonstrated a commitment to learning from </w:t>
      </w:r>
      <w:r w:rsidR="00563C51">
        <w:t>Francis’</w:t>
      </w:r>
      <w:r>
        <w:t xml:space="preserve"> case.</w:t>
      </w:r>
    </w:p>
    <w:p w14:paraId="11A3F5A3" w14:textId="77777777" w:rsidR="001E2864" w:rsidRPr="001E2864" w:rsidRDefault="001E2864" w:rsidP="00A16C70">
      <w:pPr>
        <w:pStyle w:val="Heading2"/>
      </w:pPr>
      <w:bookmarkStart w:id="7" w:name="_Toc40018800"/>
      <w:bookmarkStart w:id="8" w:name="_Toc40709211"/>
      <w:bookmarkStart w:id="9" w:name="_Toc165109311"/>
      <w:r w:rsidRPr="001E2864">
        <w:t>Family involvement</w:t>
      </w:r>
      <w:bookmarkEnd w:id="7"/>
      <w:bookmarkEnd w:id="8"/>
      <w:bookmarkEnd w:id="9"/>
    </w:p>
    <w:p w14:paraId="2AB87835" w14:textId="43419697" w:rsidR="001E2864" w:rsidRPr="001E2864" w:rsidRDefault="00563C51" w:rsidP="001E2864">
      <w:r>
        <w:t>Francis</w:t>
      </w:r>
      <w:r w:rsidR="00A16C70" w:rsidRPr="00A16C70">
        <w:t xml:space="preserve"> had a</w:t>
      </w:r>
      <w:r w:rsidR="008B06F9">
        <w:t>n</w:t>
      </w:r>
      <w:r w:rsidR="00A16C70" w:rsidRPr="00A16C70">
        <w:t xml:space="preserve"> informal support network </w:t>
      </w:r>
      <w:r w:rsidR="008268BE">
        <w:t>and occasional</w:t>
      </w:r>
      <w:r w:rsidR="004C64A4">
        <w:t xml:space="preserve"> </w:t>
      </w:r>
      <w:r w:rsidR="00A16C70" w:rsidRPr="00A16C70">
        <w:t xml:space="preserve">contact with his family. </w:t>
      </w:r>
      <w:r w:rsidR="008B06F9">
        <w:t xml:space="preserve">Individuals from within </w:t>
      </w:r>
      <w:r>
        <w:t>Francis’</w:t>
      </w:r>
      <w:r w:rsidR="00A16C70" w:rsidRPr="00A16C70">
        <w:t xml:space="preserve"> </w:t>
      </w:r>
      <w:r w:rsidR="008B06F9">
        <w:t xml:space="preserve">informal support network </w:t>
      </w:r>
      <w:r w:rsidR="00DD78A7">
        <w:t>and known family have been</w:t>
      </w:r>
      <w:r w:rsidR="00A16C70" w:rsidRPr="00A16C70">
        <w:t xml:space="preserve"> invited to contribute to the review</w:t>
      </w:r>
      <w:r w:rsidR="00DD78A7">
        <w:t>.</w:t>
      </w:r>
      <w:r w:rsidR="00A16C70" w:rsidRPr="00A16C70">
        <w:t xml:space="preserve"> </w:t>
      </w:r>
    </w:p>
    <w:p w14:paraId="45CB6824" w14:textId="77777777" w:rsidR="004718F5" w:rsidRDefault="004718F5" w:rsidP="00A16C70">
      <w:pPr>
        <w:pStyle w:val="Heading2"/>
      </w:pPr>
      <w:bookmarkStart w:id="10" w:name="_Toc40018801"/>
      <w:bookmarkStart w:id="11" w:name="_Toc145182383"/>
      <w:bookmarkStart w:id="12" w:name="_Toc165109312"/>
      <w:r>
        <w:t>Principles</w:t>
      </w:r>
      <w:bookmarkEnd w:id="10"/>
      <w:bookmarkEnd w:id="11"/>
      <w:bookmarkEnd w:id="12"/>
    </w:p>
    <w:p w14:paraId="37308F28" w14:textId="004D3B51" w:rsidR="004718F5" w:rsidRPr="000C0861" w:rsidRDefault="004718F5" w:rsidP="004718F5">
      <w:pPr>
        <w:rPr>
          <w:rFonts w:cstheme="minorHAnsi"/>
        </w:rPr>
      </w:pPr>
      <w:r w:rsidRPr="00604A3C">
        <w:rPr>
          <w:rFonts w:cstheme="minorHAnsi"/>
        </w:rPr>
        <w:t>The review will be completed with a level of understanding and sensitivity because if individuals and organisations are to be able to learn lessons from the past, then the reviews should be trusted and safe experiences that encourage honesty, transparency and sharing of information to obtain maximum benefit from them.</w:t>
      </w:r>
      <w:r>
        <w:rPr>
          <w:rFonts w:cstheme="minorHAnsi"/>
        </w:rPr>
        <w:t xml:space="preserve"> Its purpose is not to hold any individual or organisation to account but </w:t>
      </w:r>
      <w:r>
        <w:t>to:</w:t>
      </w:r>
    </w:p>
    <w:p w14:paraId="5CF0B5B7" w14:textId="15F8CEBF" w:rsidR="004718F5" w:rsidRPr="003D0970" w:rsidRDefault="004718F5" w:rsidP="004718F5">
      <w:pPr>
        <w:numPr>
          <w:ilvl w:val="0"/>
          <w:numId w:val="14"/>
        </w:numPr>
      </w:pPr>
      <w:r w:rsidRPr="003D0970">
        <w:t xml:space="preserve">Establish what lessons are to be learned about the way in which local professionals and organisations work together to safeguard people with care and support needs. </w:t>
      </w:r>
    </w:p>
    <w:p w14:paraId="19781290" w14:textId="77777777" w:rsidR="004718F5" w:rsidRPr="003D0970" w:rsidRDefault="004718F5" w:rsidP="004718F5">
      <w:pPr>
        <w:numPr>
          <w:ilvl w:val="0"/>
          <w:numId w:val="14"/>
        </w:numPr>
      </w:pPr>
      <w:r w:rsidRPr="003D0970">
        <w:t xml:space="preserve">How effective the safeguarding procedures are within Salford.  </w:t>
      </w:r>
    </w:p>
    <w:p w14:paraId="2E6CD310" w14:textId="6AB226FF" w:rsidR="004718F5" w:rsidRPr="003D0970" w:rsidRDefault="004718F5" w:rsidP="004718F5">
      <w:pPr>
        <w:numPr>
          <w:ilvl w:val="0"/>
          <w:numId w:val="14"/>
        </w:numPr>
      </w:pPr>
      <w:r w:rsidRPr="003D0970">
        <w:t>Identif</w:t>
      </w:r>
      <w:r w:rsidR="00E5440C">
        <w:t>y</w:t>
      </w:r>
      <w:r w:rsidRPr="003D0970">
        <w:t xml:space="preserve"> what went well and examples of good practice. </w:t>
      </w:r>
    </w:p>
    <w:p w14:paraId="1FE9E1DC" w14:textId="77777777" w:rsidR="004718F5" w:rsidRPr="003D0970" w:rsidRDefault="004718F5" w:rsidP="004718F5">
      <w:pPr>
        <w:numPr>
          <w:ilvl w:val="0"/>
          <w:numId w:val="14"/>
        </w:numPr>
      </w:pPr>
      <w:r w:rsidRPr="003D0970">
        <w:t xml:space="preserve">Identify clearly what those lessons are, both within and between agencies; how those lessons will be acted on, within what timescales and what is expected to change as a result. </w:t>
      </w:r>
    </w:p>
    <w:p w14:paraId="6A8A6E9D" w14:textId="77777777" w:rsidR="004718F5" w:rsidRPr="003D0970" w:rsidRDefault="004718F5" w:rsidP="004718F5">
      <w:pPr>
        <w:numPr>
          <w:ilvl w:val="0"/>
          <w:numId w:val="14"/>
        </w:numPr>
      </w:pPr>
      <w:r w:rsidRPr="003D0970">
        <w:t xml:space="preserve">Apply these lessons to service responses including changes to policies and procedures as appropriate; and </w:t>
      </w:r>
    </w:p>
    <w:p w14:paraId="344690BC" w14:textId="77777777" w:rsidR="004718F5" w:rsidRDefault="004718F5" w:rsidP="004718F5">
      <w:pPr>
        <w:numPr>
          <w:ilvl w:val="0"/>
          <w:numId w:val="14"/>
        </w:numPr>
      </w:pPr>
      <w:r w:rsidRPr="003D0970">
        <w:t>Determine what agencies could have done differently that could have prevented harm or death and that might prevent similar harm in future.</w:t>
      </w:r>
    </w:p>
    <w:p w14:paraId="3312F9C3" w14:textId="4AFF3540" w:rsidR="003230CC" w:rsidRDefault="004718F5" w:rsidP="00D832C6">
      <w:pPr>
        <w:numPr>
          <w:ilvl w:val="0"/>
          <w:numId w:val="14"/>
        </w:numPr>
      </w:pPr>
      <w:r w:rsidRPr="003D0970">
        <w:t>Understand more about service improvement or development needs for one or more service or agency.</w:t>
      </w:r>
    </w:p>
    <w:p w14:paraId="1F8C8434" w14:textId="77777777" w:rsidR="00CF4C5E" w:rsidRPr="00CF4C5E" w:rsidRDefault="00CF4C5E" w:rsidP="00A16C70">
      <w:pPr>
        <w:pStyle w:val="Heading2"/>
      </w:pPr>
      <w:bookmarkStart w:id="13" w:name="_Toc165109313"/>
      <w:r w:rsidRPr="00CF4C5E">
        <w:t>Methodology and limitations</w:t>
      </w:r>
      <w:bookmarkEnd w:id="13"/>
    </w:p>
    <w:p w14:paraId="41A3EB66" w14:textId="61E1B9A0" w:rsidR="00987D33" w:rsidRDefault="00987D33" w:rsidP="00987D33">
      <w:r>
        <w:t>The review methodology draws on systems learning theory and uses established qualitative research methods to collect, organise, and analys</w:t>
      </w:r>
      <w:r w:rsidR="008A694A">
        <w:t>e</w:t>
      </w:r>
      <w:r>
        <w:t xml:space="preserve"> information and evidence from a range of sources. Review evidence includes detailed chronologies based upon organisations’ contemporaneous records, assessments, and case summaries, and involved agencies own analysis of lessons learned. Detailed agency chronologies </w:t>
      </w:r>
      <w:r w:rsidR="00323CC7">
        <w:t xml:space="preserve">covered a period of five months leading to </w:t>
      </w:r>
      <w:r w:rsidR="00563C51">
        <w:t>Francis’</w:t>
      </w:r>
      <w:r w:rsidR="00323CC7">
        <w:t xml:space="preserve"> death,</w:t>
      </w:r>
      <w:r>
        <w:t xml:space="preserve"> with inclusion of significant events only </w:t>
      </w:r>
      <w:r w:rsidR="00323CC7">
        <w:t>for the preceding year</w:t>
      </w:r>
      <w:r>
        <w:t>.</w:t>
      </w:r>
    </w:p>
    <w:p w14:paraId="488A893D" w14:textId="77777777" w:rsidR="00987D33" w:rsidRDefault="00987D33" w:rsidP="00987D33"/>
    <w:p w14:paraId="5A68B04D" w14:textId="7682B416" w:rsidR="00CF4C5E" w:rsidRPr="00CF4C5E" w:rsidRDefault="00987D33" w:rsidP="00CF4C5E">
      <w:r>
        <w:t xml:space="preserve">Evidence will also include the views and opinions of practitioners and agencies involved in </w:t>
      </w:r>
      <w:r w:rsidR="00563C51">
        <w:t>Francis’</w:t>
      </w:r>
      <w:r>
        <w:t xml:space="preserve"> case, and information provided </w:t>
      </w:r>
      <w:r w:rsidR="00323CC7">
        <w:t>from his informal network</w:t>
      </w:r>
      <w:r>
        <w:t xml:space="preserve">. The experience of the case of </w:t>
      </w:r>
      <w:r w:rsidR="00563C51">
        <w:t>Francis</w:t>
      </w:r>
      <w:r>
        <w:t xml:space="preserve"> will be used to gain insights into the multi-agency safeguarding system and identify areas for system development or improvement “to prevent future deaths or serious harm occurring again” </w:t>
      </w:r>
      <w:sdt>
        <w:sdtPr>
          <w:id w:val="1630359426"/>
          <w:citation/>
        </w:sdtPr>
        <w:sdtEndPr/>
        <w:sdtContent>
          <w:r>
            <w:fldChar w:fldCharType="begin"/>
          </w:r>
          <w:r>
            <w:instrText xml:space="preserve"> CITATION Placeholder2 \l 2057 </w:instrText>
          </w:r>
          <w:r>
            <w:fldChar w:fldCharType="separate"/>
          </w:r>
          <w:r w:rsidR="00094ACC">
            <w:rPr>
              <w:noProof/>
            </w:rPr>
            <w:t>(DHSC, 2023)</w:t>
          </w:r>
          <w:r>
            <w:fldChar w:fldCharType="end"/>
          </w:r>
        </w:sdtContent>
      </w:sdt>
      <w:r>
        <w:t xml:space="preserve"> </w:t>
      </w:r>
    </w:p>
    <w:p w14:paraId="7D405455" w14:textId="77777777" w:rsidR="00CF4C5E" w:rsidRPr="00CF4C5E" w:rsidRDefault="00CF4C5E" w:rsidP="00A16C70">
      <w:pPr>
        <w:pStyle w:val="Heading2"/>
      </w:pPr>
      <w:bookmarkStart w:id="14" w:name="_Toc165109314"/>
      <w:r w:rsidRPr="00CF4C5E">
        <w:t>Specific terms of reference</w:t>
      </w:r>
      <w:bookmarkEnd w:id="14"/>
    </w:p>
    <w:p w14:paraId="5B076BDC" w14:textId="77777777" w:rsidR="00030C2F" w:rsidRDefault="00030C2F" w:rsidP="00030C2F">
      <w:r>
        <w:t>The Terms of Reference for this review were agreed by the Salford Safeguarding Adults Board and include potential themes to be explored. Thematic terms of reference, or research questions, help to provide structure and frame the review process. This does not prevent additional learning being identified during the review. The themes identified by Salford Safeguarding Adults Board for the review to consider include, but may not be limited to:</w:t>
      </w:r>
    </w:p>
    <w:p w14:paraId="46C1C5E4" w14:textId="77777777" w:rsidR="00030C2F" w:rsidRDefault="00030C2F" w:rsidP="00030C2F"/>
    <w:p w14:paraId="12D1960B" w14:textId="77777777" w:rsidR="00030C2F" w:rsidRDefault="00030C2F" w:rsidP="00030C2F">
      <w:pPr>
        <w:pStyle w:val="ListParagraph"/>
        <w:numPr>
          <w:ilvl w:val="0"/>
          <w:numId w:val="15"/>
        </w:numPr>
      </w:pPr>
      <w:r w:rsidRPr="00F57D14">
        <w:rPr>
          <w:b/>
          <w:bCs/>
        </w:rPr>
        <w:t>Self-neglect</w:t>
      </w:r>
      <w:r>
        <w:t xml:space="preserve"> – professional response to self-neglect.</w:t>
      </w:r>
    </w:p>
    <w:p w14:paraId="0D75F226" w14:textId="77777777" w:rsidR="00030C2F" w:rsidRDefault="00030C2F" w:rsidP="00030C2F">
      <w:pPr>
        <w:pStyle w:val="ListParagraph"/>
        <w:numPr>
          <w:ilvl w:val="0"/>
          <w:numId w:val="15"/>
        </w:numPr>
      </w:pPr>
      <w:r w:rsidRPr="00A86003">
        <w:rPr>
          <w:b/>
          <w:bCs/>
        </w:rPr>
        <w:t>Care and support needs in the context of drug &amp; alcohol misuse</w:t>
      </w:r>
      <w:r>
        <w:t xml:space="preserve"> – recognition of care and support needs relating to ‘social support’.</w:t>
      </w:r>
    </w:p>
    <w:p w14:paraId="00D76098" w14:textId="77777777" w:rsidR="00030C2F" w:rsidRDefault="00030C2F" w:rsidP="00030C2F">
      <w:pPr>
        <w:pStyle w:val="ListParagraph"/>
        <w:numPr>
          <w:ilvl w:val="0"/>
          <w:numId w:val="15"/>
        </w:numPr>
      </w:pPr>
      <w:r w:rsidRPr="00A86003">
        <w:rPr>
          <w:b/>
          <w:bCs/>
        </w:rPr>
        <w:t>Timely allocation</w:t>
      </w:r>
      <w:r>
        <w:t xml:space="preserve"> – Delay in case allocation from initial safeguarding. No planning meeting coordinated, sec 42 enquiries not initiated (maybe because of above point) Leading to case drift &amp; crisis management. Outcome of Safeguarding not shared with referrers leading to professional assumption “things are in hand”.</w:t>
      </w:r>
    </w:p>
    <w:p w14:paraId="61A150F4" w14:textId="5CB4C5E7" w:rsidR="00030C2F" w:rsidRDefault="00030C2F" w:rsidP="00030C2F">
      <w:pPr>
        <w:pStyle w:val="ListParagraph"/>
        <w:numPr>
          <w:ilvl w:val="0"/>
          <w:numId w:val="15"/>
        </w:numPr>
      </w:pPr>
      <w:r w:rsidRPr="00A86003">
        <w:rPr>
          <w:b/>
          <w:bCs/>
        </w:rPr>
        <w:t>Information sharing around risk management</w:t>
      </w:r>
      <w:r>
        <w:t xml:space="preserve"> – multiple areas of risk include risks to self through self-neglect, risks from others in context of exploitation, risk to others in context of background of offending </w:t>
      </w:r>
      <w:proofErr w:type="spellStart"/>
      <w:r>
        <w:t>behaviours</w:t>
      </w:r>
      <w:proofErr w:type="spellEnd"/>
      <w:r>
        <w:t>, risks to professionals, and markers. Including within professional and informal support networks.</w:t>
      </w:r>
    </w:p>
    <w:p w14:paraId="04AB8127" w14:textId="77777777" w:rsidR="00030C2F" w:rsidRDefault="00030C2F" w:rsidP="00030C2F">
      <w:pPr>
        <w:pStyle w:val="ListParagraph"/>
        <w:numPr>
          <w:ilvl w:val="0"/>
          <w:numId w:val="15"/>
        </w:numPr>
      </w:pPr>
      <w:r w:rsidRPr="00A86003">
        <w:rPr>
          <w:b/>
          <w:bCs/>
        </w:rPr>
        <w:t>Community Pharmacy role in safeguarding process</w:t>
      </w:r>
      <w:r>
        <w:t xml:space="preserve"> – what are the legalities around this &amp; due process around safeguarding responsibilities.</w:t>
      </w:r>
    </w:p>
    <w:p w14:paraId="4286724F" w14:textId="77777777" w:rsidR="00030C2F" w:rsidRDefault="00030C2F" w:rsidP="00030C2F">
      <w:pPr>
        <w:pStyle w:val="ListParagraph"/>
        <w:numPr>
          <w:ilvl w:val="0"/>
          <w:numId w:val="15"/>
        </w:numPr>
      </w:pPr>
      <w:r w:rsidRPr="00A86003">
        <w:rPr>
          <w:b/>
          <w:bCs/>
        </w:rPr>
        <w:t>People with additional needs</w:t>
      </w:r>
      <w:r>
        <w:t xml:space="preserve"> – adult with limited or no literacy skills (not able to read or write) and how do we support them with care &amp; support needs/access to services.</w:t>
      </w:r>
    </w:p>
    <w:p w14:paraId="009DA7C6" w14:textId="77777777" w:rsidR="007C19CF" w:rsidRDefault="00030C2F" w:rsidP="007C19CF">
      <w:pPr>
        <w:pStyle w:val="ListParagraph"/>
        <w:numPr>
          <w:ilvl w:val="0"/>
          <w:numId w:val="15"/>
        </w:numPr>
      </w:pPr>
      <w:r w:rsidRPr="00A86003">
        <w:rPr>
          <w:b/>
          <w:bCs/>
        </w:rPr>
        <w:t>Professional curiosity</w:t>
      </w:r>
      <w:r>
        <w:rPr>
          <w:b/>
          <w:bCs/>
        </w:rPr>
        <w:t xml:space="preserve"> in risk management</w:t>
      </w:r>
      <w:r>
        <w:t xml:space="preserve"> – How did professionals use their knowledge about risk within the case, and did this inform their perspective and evaluation of presenting information or did professionals simply accept information at face value?</w:t>
      </w:r>
    </w:p>
    <w:p w14:paraId="6AF3289A" w14:textId="77777777" w:rsidR="004F701B" w:rsidRDefault="004F701B" w:rsidP="004F701B">
      <w:pPr>
        <w:ind w:left="360"/>
      </w:pPr>
    </w:p>
    <w:p w14:paraId="0E431778" w14:textId="77777777" w:rsidR="004F701B" w:rsidRDefault="004F701B" w:rsidP="004F701B">
      <w:pPr>
        <w:ind w:left="360"/>
        <w:sectPr w:rsidR="004F701B" w:rsidSect="00101893">
          <w:headerReference w:type="default" r:id="rId11"/>
          <w:footerReference w:type="default" r:id="rId12"/>
          <w:headerReference w:type="first" r:id="rId13"/>
          <w:footerReference w:type="first" r:id="rId14"/>
          <w:pgSz w:w="11906" w:h="16838"/>
          <w:pgMar w:top="0" w:right="991" w:bottom="1440" w:left="1440" w:header="708" w:footer="708" w:gutter="0"/>
          <w:cols w:space="708"/>
          <w:docGrid w:linePitch="360"/>
        </w:sectPr>
      </w:pPr>
    </w:p>
    <w:p w14:paraId="633DC9F2" w14:textId="2460FCA6" w:rsidR="00CF4C5E" w:rsidRDefault="00042F17" w:rsidP="00201253">
      <w:pPr>
        <w:pStyle w:val="Heading1"/>
        <w:spacing w:after="0"/>
      </w:pPr>
      <w:bookmarkStart w:id="15" w:name="_Toc165109315"/>
      <w:r>
        <w:t>S</w:t>
      </w:r>
      <w:r w:rsidR="00030C2F">
        <w:t xml:space="preserve">ignificant </w:t>
      </w:r>
      <w:r w:rsidR="00B878AE">
        <w:t xml:space="preserve">Experiences </w:t>
      </w:r>
      <w:r w:rsidR="00030C2F">
        <w:t>Timeline</w:t>
      </w:r>
      <w:bookmarkEnd w:id="15"/>
    </w:p>
    <w:p w14:paraId="58854A16" w14:textId="77777777" w:rsidR="00CE7950" w:rsidRDefault="00CE7950" w:rsidP="001863B9">
      <w:pPr>
        <w:spacing w:line="240" w:lineRule="auto"/>
      </w:pPr>
    </w:p>
    <w:p w14:paraId="34435871" w14:textId="3AC1C0BF" w:rsidR="00CE7950" w:rsidRPr="00CE7950" w:rsidRDefault="00941553" w:rsidP="004C35B1">
      <w:pPr>
        <w:spacing w:line="480" w:lineRule="auto"/>
        <w:ind w:left="851"/>
        <w:jc w:val="center"/>
      </w:pPr>
      <w:r>
        <w:rPr>
          <w:noProof/>
        </w:rPr>
        <w:drawing>
          <wp:inline distT="0" distB="0" distL="0" distR="0" wp14:anchorId="360C3B1A" wp14:editId="784F69A5">
            <wp:extent cx="7800756" cy="4700469"/>
            <wp:effectExtent l="0" t="0" r="0" b="5080"/>
            <wp:docPr id="1245665424" name="Picture 1" descr="A diagram of different colored rectangular sha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665424" name="Picture 1" descr="A diagram of different colored rectangular shapes&#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7836816" cy="4722197"/>
                    </a:xfrm>
                    <a:prstGeom prst="rect">
                      <a:avLst/>
                    </a:prstGeom>
                  </pic:spPr>
                </pic:pic>
              </a:graphicData>
            </a:graphic>
          </wp:inline>
        </w:drawing>
      </w:r>
    </w:p>
    <w:p w14:paraId="34591B24" w14:textId="2D125002" w:rsidR="002D2547" w:rsidRPr="00006048" w:rsidRDefault="002D2547" w:rsidP="00DE26E8">
      <w:pPr>
        <w:ind w:left="567" w:firstLine="720"/>
        <w:rPr>
          <w:i/>
          <w:iCs/>
        </w:rPr>
      </w:pPr>
      <w:r>
        <w:rPr>
          <w:i/>
          <w:iCs/>
        </w:rPr>
        <w:t xml:space="preserve">Figure 1: Visual representation of significant events in the life of </w:t>
      </w:r>
      <w:r w:rsidR="00563C51">
        <w:rPr>
          <w:i/>
          <w:iCs/>
        </w:rPr>
        <w:t>Francis</w:t>
      </w:r>
    </w:p>
    <w:p w14:paraId="4E1444FE" w14:textId="77777777" w:rsidR="004053E4" w:rsidRDefault="004053E4" w:rsidP="004053E4"/>
    <w:p w14:paraId="7E5B116E" w14:textId="77777777" w:rsidR="00C14F44" w:rsidRDefault="00C14F44" w:rsidP="004053E4">
      <w:pPr>
        <w:sectPr w:rsidR="00C14F44" w:rsidSect="00101893">
          <w:pgSz w:w="16838" w:h="11906" w:orient="landscape"/>
          <w:pgMar w:top="991" w:right="1440" w:bottom="1276" w:left="1134" w:header="708" w:footer="708" w:gutter="0"/>
          <w:cols w:space="708"/>
          <w:docGrid w:linePitch="360"/>
        </w:sectPr>
      </w:pPr>
    </w:p>
    <w:p w14:paraId="56CF87D3" w14:textId="64368098" w:rsidR="00435F4F" w:rsidRDefault="00435F4F" w:rsidP="00435F4F">
      <w:pPr>
        <w:pStyle w:val="Heading2"/>
      </w:pPr>
      <w:bookmarkStart w:id="16" w:name="_Toc165109316"/>
      <w:r>
        <w:t>Case context</w:t>
      </w:r>
      <w:bookmarkEnd w:id="16"/>
    </w:p>
    <w:p w14:paraId="0A120A3C" w14:textId="20A23EF0" w:rsidR="00B65326" w:rsidRDefault="00573CCD" w:rsidP="004053E4">
      <w:r>
        <w:t>P</w:t>
      </w:r>
      <w:r w:rsidR="006466DE">
        <w:t>ast experiences</w:t>
      </w:r>
      <w:r w:rsidR="004521EF">
        <w:t xml:space="preserve"> </w:t>
      </w:r>
      <w:r>
        <w:t xml:space="preserve">can </w:t>
      </w:r>
      <w:r w:rsidR="004521EF">
        <w:t xml:space="preserve">shape an individual throughout their lives, influencing the way a person views themselves, the world around them and others. </w:t>
      </w:r>
      <w:r w:rsidR="00702ED3">
        <w:t>In the context of adult safeguarding these experiences also have an impact on an individual’s vulnerabilities and their resilience to crises and stresses.</w:t>
      </w:r>
      <w:r w:rsidR="003E15CF">
        <w:t xml:space="preserve"> </w:t>
      </w:r>
      <w:r w:rsidR="00891BC0">
        <w:t xml:space="preserve">During his childhood </w:t>
      </w:r>
      <w:r w:rsidR="00563C51">
        <w:t>Francis’</w:t>
      </w:r>
      <w:r w:rsidR="004053E4">
        <w:t xml:space="preserve"> </w:t>
      </w:r>
      <w:r w:rsidR="009E1548">
        <w:t xml:space="preserve">experienced </w:t>
      </w:r>
      <w:r w:rsidR="002179E9">
        <w:t>the loss of a parent, and an injury amounting to a physical impairment.</w:t>
      </w:r>
      <w:r w:rsidR="002F1795">
        <w:t xml:space="preserve"> </w:t>
      </w:r>
      <w:r w:rsidR="00563C51">
        <w:t>Francis</w:t>
      </w:r>
      <w:r w:rsidR="002F1795">
        <w:t xml:space="preserve"> came into contact with the criminal justice system and had risk markers for weapons, </w:t>
      </w:r>
      <w:r w:rsidR="00A41BA8">
        <w:t>violence, drugs offences, and other offences. He was assessed as a significant risk to women</w:t>
      </w:r>
      <w:r w:rsidR="009A1AB2">
        <w:t>.</w:t>
      </w:r>
      <w:r>
        <w:t xml:space="preserve"> </w:t>
      </w:r>
      <w:r w:rsidR="004053E4">
        <w:t xml:space="preserve">By the start of the chronological period </w:t>
      </w:r>
      <w:r w:rsidR="00563C51">
        <w:t>Francis</w:t>
      </w:r>
      <w:r w:rsidR="004053E4">
        <w:t xml:space="preserve"> </w:t>
      </w:r>
      <w:r w:rsidR="00886951">
        <w:t xml:space="preserve">was </w:t>
      </w:r>
      <w:r w:rsidR="00B65326">
        <w:t xml:space="preserve">dependent </w:t>
      </w:r>
      <w:r w:rsidR="00886951">
        <w:t>on alcohol and suffered from</w:t>
      </w:r>
      <w:r w:rsidR="00B65326">
        <w:t xml:space="preserve"> </w:t>
      </w:r>
      <w:r w:rsidR="004053E4">
        <w:t>alcohol-related epilepsy</w:t>
      </w:r>
      <w:r w:rsidR="00A67EB0">
        <w:t xml:space="preserve"> and </w:t>
      </w:r>
      <w:r w:rsidR="00FD5104">
        <w:t xml:space="preserve">had experienced </w:t>
      </w:r>
      <w:r w:rsidR="00A67EB0">
        <w:t xml:space="preserve">a </w:t>
      </w:r>
      <w:r w:rsidR="004053E4">
        <w:t xml:space="preserve">traumatic brain injury. Patterns of self-neglect, refusal or disengagement with services, poor medication compliance and recurrent seizures, were recognisable. </w:t>
      </w:r>
    </w:p>
    <w:p w14:paraId="48CDCBA7" w14:textId="77777777" w:rsidR="00B65326" w:rsidRDefault="00B65326" w:rsidP="004053E4"/>
    <w:p w14:paraId="4E1378AD" w14:textId="6CCCA1D0" w:rsidR="000837FE" w:rsidRDefault="007739C9" w:rsidP="0090727F">
      <w:r>
        <w:t>C</w:t>
      </w:r>
      <w:r w:rsidR="004053E4">
        <w:t xml:space="preserve">oncerns about the state of </w:t>
      </w:r>
      <w:r w:rsidR="00563C51">
        <w:t>Francis’</w:t>
      </w:r>
      <w:r w:rsidR="004053E4">
        <w:t xml:space="preserve"> accommodation, open front door, lack of gas supply and hot water had been identified and referred into safeguarding services. </w:t>
      </w:r>
      <w:r w:rsidR="00563C51">
        <w:t>Francis</w:t>
      </w:r>
      <w:r w:rsidR="004053E4">
        <w:t xml:space="preserve"> was a regular attender at a local food bank</w:t>
      </w:r>
      <w:r w:rsidR="00514009">
        <w:t xml:space="preserve"> and here </w:t>
      </w:r>
      <w:r w:rsidR="00EA5243">
        <w:t xml:space="preserve">made </w:t>
      </w:r>
      <w:r w:rsidR="004053E4">
        <w:t xml:space="preserve">allegations </w:t>
      </w:r>
      <w:r w:rsidR="00EA5243">
        <w:t xml:space="preserve">to a Food Bank Support Worker </w:t>
      </w:r>
      <w:r w:rsidR="004053E4">
        <w:t xml:space="preserve">of financial exploitation by an adult female demanding money </w:t>
      </w:r>
      <w:r w:rsidR="00EA5243">
        <w:t xml:space="preserve">from him </w:t>
      </w:r>
      <w:r w:rsidR="004053E4">
        <w:t>for jobs she had not done, such as cleaning.</w:t>
      </w:r>
      <w:r w:rsidR="001E17A2">
        <w:t xml:space="preserve"> This was noted </w:t>
      </w:r>
      <w:r w:rsidR="00566E31">
        <w:t xml:space="preserve">by Adult Social Care </w:t>
      </w:r>
      <w:r w:rsidR="001E17A2">
        <w:t xml:space="preserve">to be an ‘ongoing issue’ but one that </w:t>
      </w:r>
      <w:r w:rsidR="00563C51">
        <w:t>Francis</w:t>
      </w:r>
      <w:r w:rsidR="001E17A2">
        <w:t xml:space="preserve"> did not want to address.</w:t>
      </w:r>
      <w:r w:rsidR="00117011">
        <w:t xml:space="preserve"> </w:t>
      </w:r>
      <w:r w:rsidR="00514009">
        <w:t>C</w:t>
      </w:r>
      <w:r w:rsidR="004A2DED">
        <w:t xml:space="preserve">oncerns about medication compliance and missed doses of anti-epileptics </w:t>
      </w:r>
      <w:r w:rsidR="00514009">
        <w:t xml:space="preserve">also </w:t>
      </w:r>
      <w:r w:rsidR="008345AF">
        <w:t xml:space="preserve">became more apparent with an associated impact on </w:t>
      </w:r>
      <w:r w:rsidR="00563C51">
        <w:t>Francis’</w:t>
      </w:r>
      <w:r w:rsidR="008345AF">
        <w:t xml:space="preserve"> physical health and seizure activity.</w:t>
      </w:r>
      <w:r w:rsidR="00EA61C1">
        <w:t xml:space="preserve"> These concerns and patterns of risk continued </w:t>
      </w:r>
      <w:r w:rsidR="00514009">
        <w:t>until his death</w:t>
      </w:r>
      <w:r w:rsidR="000B0FEA">
        <w:t>.</w:t>
      </w:r>
      <w:r w:rsidR="00BA6725">
        <w:rPr>
          <w:bCs/>
        </w:rPr>
        <w:t xml:space="preserve"> </w:t>
      </w:r>
      <w:r w:rsidR="00563C51">
        <w:rPr>
          <w:bCs/>
        </w:rPr>
        <w:t>Francis’</w:t>
      </w:r>
      <w:r w:rsidR="000B0FEA">
        <w:rPr>
          <w:bCs/>
        </w:rPr>
        <w:t xml:space="preserve"> GP practice </w:t>
      </w:r>
      <w:r w:rsidR="00514009">
        <w:rPr>
          <w:bCs/>
        </w:rPr>
        <w:t>were c</w:t>
      </w:r>
      <w:r w:rsidR="000B0FEA">
        <w:rPr>
          <w:bCs/>
        </w:rPr>
        <w:t>oncerned about his physical presentation, disengagement from services, and risks of further seizures and injury, the GP practice raised a safeguarding concern.</w:t>
      </w:r>
      <w:r w:rsidR="0016377E">
        <w:t xml:space="preserve"> The referral was processed on the same day, however</w:t>
      </w:r>
      <w:r w:rsidR="00E57C9F">
        <w:t xml:space="preserve"> </w:t>
      </w:r>
      <w:r w:rsidR="00563C51">
        <w:t>Francis</w:t>
      </w:r>
      <w:r w:rsidR="00E57C9F">
        <w:t xml:space="preserve"> was not contacted or seen until later </w:t>
      </w:r>
      <w:r w:rsidR="00BA6725">
        <w:t>the next month</w:t>
      </w:r>
      <w:r w:rsidR="00E57C9F">
        <w:t xml:space="preserve">. </w:t>
      </w:r>
    </w:p>
    <w:p w14:paraId="6CCD6B44" w14:textId="77777777" w:rsidR="000837FE" w:rsidRDefault="000837FE" w:rsidP="0090727F"/>
    <w:p w14:paraId="483F6D0D" w14:textId="62C2CD14" w:rsidR="000837FE" w:rsidRDefault="00BA6725" w:rsidP="0090727F">
      <w:r>
        <w:rPr>
          <w:bCs/>
        </w:rPr>
        <w:t>Two months later</w:t>
      </w:r>
      <w:r w:rsidR="0008770B">
        <w:rPr>
          <w:bCs/>
        </w:rPr>
        <w:t xml:space="preserve"> </w:t>
      </w:r>
      <w:r w:rsidR="00D53D47">
        <w:rPr>
          <w:bCs/>
        </w:rPr>
        <w:t xml:space="preserve">a safeguarding referral was made after </w:t>
      </w:r>
      <w:r w:rsidR="00563C51">
        <w:rPr>
          <w:bCs/>
        </w:rPr>
        <w:t>Francis</w:t>
      </w:r>
      <w:r w:rsidR="00D53D47">
        <w:rPr>
          <w:bCs/>
        </w:rPr>
        <w:t xml:space="preserve"> made allegations </w:t>
      </w:r>
      <w:r w:rsidR="00CA08C3">
        <w:rPr>
          <w:bCs/>
        </w:rPr>
        <w:t xml:space="preserve">to his GP </w:t>
      </w:r>
      <w:r w:rsidR="00D53D47">
        <w:rPr>
          <w:bCs/>
        </w:rPr>
        <w:t>that his medication</w:t>
      </w:r>
      <w:r w:rsidR="00CA08C3">
        <w:rPr>
          <w:bCs/>
        </w:rPr>
        <w:t xml:space="preserve">, mobile </w:t>
      </w:r>
      <w:r w:rsidR="00653571">
        <w:rPr>
          <w:bCs/>
        </w:rPr>
        <w:t>phone</w:t>
      </w:r>
      <w:r w:rsidR="00CA08C3">
        <w:rPr>
          <w:bCs/>
        </w:rPr>
        <w:t>, and television</w:t>
      </w:r>
      <w:r w:rsidR="00D53D47">
        <w:rPr>
          <w:bCs/>
        </w:rPr>
        <w:t xml:space="preserve"> had been stolen</w:t>
      </w:r>
      <w:r w:rsidR="00CA08C3">
        <w:rPr>
          <w:bCs/>
        </w:rPr>
        <w:t xml:space="preserve">. </w:t>
      </w:r>
      <w:r w:rsidR="000F3F49">
        <w:rPr>
          <w:bCs/>
        </w:rPr>
        <w:t>Adult Social Care carried out a</w:t>
      </w:r>
      <w:r w:rsidR="00CA08C3">
        <w:rPr>
          <w:bCs/>
        </w:rPr>
        <w:t xml:space="preserve"> home visit </w:t>
      </w:r>
      <w:r w:rsidR="0008770B">
        <w:rPr>
          <w:bCs/>
        </w:rPr>
        <w:t>but found</w:t>
      </w:r>
      <w:r w:rsidR="00A91CC4">
        <w:rPr>
          <w:bCs/>
        </w:rPr>
        <w:t xml:space="preserve"> </w:t>
      </w:r>
      <w:r w:rsidR="00563C51">
        <w:rPr>
          <w:bCs/>
        </w:rPr>
        <w:t>Francis</w:t>
      </w:r>
      <w:r w:rsidR="00A91CC4">
        <w:rPr>
          <w:bCs/>
        </w:rPr>
        <w:t xml:space="preserve"> </w:t>
      </w:r>
      <w:r w:rsidR="0034310A">
        <w:rPr>
          <w:bCs/>
        </w:rPr>
        <w:t xml:space="preserve">breathing abnormally and non-responsive. Paramedics attended and were able to rouse </w:t>
      </w:r>
      <w:r w:rsidR="00563C51">
        <w:rPr>
          <w:bCs/>
        </w:rPr>
        <w:t>Francis</w:t>
      </w:r>
      <w:r w:rsidR="0008770B">
        <w:rPr>
          <w:bCs/>
        </w:rPr>
        <w:t>,</w:t>
      </w:r>
      <w:r w:rsidR="0034310A">
        <w:rPr>
          <w:bCs/>
        </w:rPr>
        <w:t xml:space="preserve"> who did not require admission to hospital. The outcome of the visit was a plan to </w:t>
      </w:r>
      <w:proofErr w:type="spellStart"/>
      <w:r w:rsidR="0008770B">
        <w:rPr>
          <w:bCs/>
        </w:rPr>
        <w:t>i</w:t>
      </w:r>
      <w:proofErr w:type="spellEnd"/>
      <w:r w:rsidR="0008770B">
        <w:rPr>
          <w:bCs/>
        </w:rPr>
        <w:t xml:space="preserve">) </w:t>
      </w:r>
      <w:r w:rsidR="0034310A">
        <w:rPr>
          <w:bCs/>
        </w:rPr>
        <w:t xml:space="preserve">provide </w:t>
      </w:r>
      <w:r w:rsidR="00044DD6">
        <w:rPr>
          <w:bCs/>
        </w:rPr>
        <w:t xml:space="preserve">a package of care and </w:t>
      </w:r>
      <w:r w:rsidR="0034310A">
        <w:rPr>
          <w:bCs/>
        </w:rPr>
        <w:t xml:space="preserve">support </w:t>
      </w:r>
      <w:r w:rsidR="00044DD6">
        <w:rPr>
          <w:bCs/>
        </w:rPr>
        <w:t xml:space="preserve">to assist </w:t>
      </w:r>
      <w:r w:rsidR="0034310A">
        <w:rPr>
          <w:bCs/>
        </w:rPr>
        <w:t>with medication</w:t>
      </w:r>
      <w:r w:rsidR="0008770B">
        <w:rPr>
          <w:bCs/>
        </w:rPr>
        <w:t xml:space="preserve"> ii) support with</w:t>
      </w:r>
      <w:r w:rsidR="00044DD6">
        <w:rPr>
          <w:bCs/>
        </w:rPr>
        <w:t xml:space="preserve"> nutrition, and </w:t>
      </w:r>
      <w:r w:rsidR="0008770B">
        <w:rPr>
          <w:bCs/>
        </w:rPr>
        <w:t xml:space="preserve">iii) </w:t>
      </w:r>
      <w:r w:rsidR="00044DD6">
        <w:rPr>
          <w:bCs/>
        </w:rPr>
        <w:t xml:space="preserve">stay safe, and </w:t>
      </w:r>
      <w:r w:rsidR="00186614">
        <w:rPr>
          <w:bCs/>
        </w:rPr>
        <w:t xml:space="preserve">iv) </w:t>
      </w:r>
      <w:r w:rsidR="00044DD6">
        <w:rPr>
          <w:bCs/>
        </w:rPr>
        <w:t>to change the locks to the property. No further actions on the risk of financial abuse and exploitation were taken</w:t>
      </w:r>
      <w:r w:rsidR="00982266">
        <w:rPr>
          <w:bCs/>
        </w:rPr>
        <w:t xml:space="preserve">. Later </w:t>
      </w:r>
      <w:r w:rsidR="00563C51">
        <w:t>Francis</w:t>
      </w:r>
      <w:r w:rsidR="00A769C6">
        <w:t xml:space="preserve"> suffered a seizure at the side of the road and was admitted to hospital</w:t>
      </w:r>
      <w:r w:rsidR="001237C0">
        <w:t>. Professionals meetings and multi-agency risk management meetings were</w:t>
      </w:r>
      <w:r w:rsidR="00ED1692">
        <w:t xml:space="preserve"> arranged but did not happen due to non-attendance of </w:t>
      </w:r>
      <w:r w:rsidR="00186614">
        <w:t>some agencies</w:t>
      </w:r>
      <w:r w:rsidR="00F50BDE">
        <w:t>.</w:t>
      </w:r>
      <w:r w:rsidR="000923AA">
        <w:t xml:space="preserve"> </w:t>
      </w:r>
    </w:p>
    <w:p w14:paraId="019A3C4A" w14:textId="77777777" w:rsidR="000837FE" w:rsidRDefault="000837FE" w:rsidP="0090727F"/>
    <w:p w14:paraId="0E3DC0EE" w14:textId="384E25B1" w:rsidR="00573CCD" w:rsidRDefault="00563C51" w:rsidP="00CA665F">
      <w:r>
        <w:t>Francis</w:t>
      </w:r>
      <w:r w:rsidR="000923AA">
        <w:t xml:space="preserve"> was discharged home </w:t>
      </w:r>
      <w:r w:rsidR="00D07D9C">
        <w:t>later that month</w:t>
      </w:r>
      <w:r w:rsidR="0015526A">
        <w:t xml:space="preserve">. </w:t>
      </w:r>
      <w:r w:rsidR="00D07D9C">
        <w:t xml:space="preserve">Three days later </w:t>
      </w:r>
      <w:r>
        <w:t>Francis</w:t>
      </w:r>
      <w:r w:rsidR="0090727F">
        <w:t xml:space="preserve"> was re-admitted to Hospital following a potential drug overdose which resulted in </w:t>
      </w:r>
      <w:r w:rsidR="00D07D9C">
        <w:t xml:space="preserve">his </w:t>
      </w:r>
      <w:r w:rsidR="0090727F">
        <w:t xml:space="preserve">collapsing and suffering cardiac arrest and brain hypoxia. </w:t>
      </w:r>
      <w:r>
        <w:t>Francis</w:t>
      </w:r>
      <w:r w:rsidR="0090727F">
        <w:t xml:space="preserve"> died in hospital</w:t>
      </w:r>
      <w:r w:rsidR="00D07D9C">
        <w:t xml:space="preserve"> </w:t>
      </w:r>
      <w:r w:rsidR="007E6AC8">
        <w:t>10 days later</w:t>
      </w:r>
      <w:r w:rsidR="0090727F">
        <w:t>.</w:t>
      </w:r>
    </w:p>
    <w:p w14:paraId="7E3EABD3" w14:textId="77777777" w:rsidR="009D6BD0" w:rsidRPr="00CA665F" w:rsidRDefault="009D6BD0" w:rsidP="00CA665F"/>
    <w:p w14:paraId="4E75D11D" w14:textId="77777777" w:rsidR="009D6BD0" w:rsidRDefault="009D6BD0" w:rsidP="003E7516">
      <w:pPr>
        <w:pStyle w:val="Heading1"/>
        <w:sectPr w:rsidR="009D6BD0" w:rsidSect="00101893">
          <w:pgSz w:w="11906" w:h="16838"/>
          <w:pgMar w:top="0" w:right="991" w:bottom="1440" w:left="1440" w:header="708" w:footer="708" w:gutter="0"/>
          <w:cols w:space="708"/>
          <w:docGrid w:linePitch="360"/>
        </w:sectPr>
      </w:pPr>
    </w:p>
    <w:p w14:paraId="6BE707D1" w14:textId="32798CCE" w:rsidR="00042F17" w:rsidRDefault="000007EA" w:rsidP="003E7516">
      <w:pPr>
        <w:pStyle w:val="Heading1"/>
      </w:pPr>
      <w:bookmarkStart w:id="17" w:name="_Toc165109317"/>
      <w:r>
        <w:t xml:space="preserve">Analysis and </w:t>
      </w:r>
      <w:r w:rsidR="00BA3AB1">
        <w:t>Findings</w:t>
      </w:r>
      <w:bookmarkEnd w:id="17"/>
    </w:p>
    <w:p w14:paraId="705F16CB" w14:textId="52EDE105" w:rsidR="00D357F5" w:rsidRDefault="00490223" w:rsidP="00CF4C5E">
      <w:pPr>
        <w:rPr>
          <w:bCs/>
        </w:rPr>
      </w:pPr>
      <w:r w:rsidRPr="00490223">
        <w:rPr>
          <w:bCs/>
        </w:rPr>
        <w:t xml:space="preserve">This section takes events and examples of practice in the case of </w:t>
      </w:r>
      <w:r w:rsidR="00563C51">
        <w:rPr>
          <w:bCs/>
        </w:rPr>
        <w:t>Francis</w:t>
      </w:r>
      <w:r w:rsidRPr="00490223">
        <w:rPr>
          <w:bCs/>
        </w:rPr>
        <w:t xml:space="preserve"> and considers them in the context of the wider system. The aim of findings in Safeguarding Adults Reviews </w:t>
      </w:r>
      <w:r w:rsidR="00525F3B">
        <w:rPr>
          <w:bCs/>
        </w:rPr>
        <w:t>(discretionary</w:t>
      </w:r>
      <w:r w:rsidR="00F42549">
        <w:rPr>
          <w:bCs/>
        </w:rPr>
        <w:t xml:space="preserve"> in this instance) </w:t>
      </w:r>
      <w:r w:rsidRPr="00490223">
        <w:rPr>
          <w:bCs/>
        </w:rPr>
        <w:t>is to enable “lessons to be learned from the case and those lessons applied to future cases to prevent similar harm occurring again” (</w:t>
      </w:r>
      <w:proofErr w:type="spellStart"/>
      <w:r w:rsidRPr="00490223">
        <w:rPr>
          <w:bCs/>
        </w:rPr>
        <w:t>DHSC</w:t>
      </w:r>
      <w:proofErr w:type="spellEnd"/>
      <w:r w:rsidRPr="00490223">
        <w:rPr>
          <w:bCs/>
        </w:rPr>
        <w:t>, 2020). This section applies theoretical and practice frameworks in order to generate findings that can be applied to the safeguarding adults system. Findings are structured against the research questions in the terms of reference, and additional learning that is relevant to the local system.</w:t>
      </w:r>
    </w:p>
    <w:p w14:paraId="0AFA520D" w14:textId="6EA9CC19" w:rsidR="00D357F5" w:rsidRDefault="00D357F5" w:rsidP="00D357F5">
      <w:pPr>
        <w:pStyle w:val="Heading2"/>
        <w:spacing w:after="0"/>
      </w:pPr>
      <w:bookmarkStart w:id="18" w:name="_Toc40018805"/>
      <w:bookmarkStart w:id="19" w:name="_Toc54037553"/>
      <w:bookmarkStart w:id="20" w:name="_Toc154181364"/>
      <w:bookmarkStart w:id="21" w:name="_Toc165109318"/>
      <w:r>
        <w:t xml:space="preserve">TOR 1: </w:t>
      </w:r>
      <w:bookmarkEnd w:id="18"/>
      <w:bookmarkEnd w:id="19"/>
      <w:bookmarkEnd w:id="20"/>
      <w:r>
        <w:t>Self-neglect</w:t>
      </w:r>
      <w:bookmarkEnd w:id="21"/>
    </w:p>
    <w:p w14:paraId="7B1B8EC5" w14:textId="0CCD16B4" w:rsidR="00042F17" w:rsidRPr="00D357F5" w:rsidRDefault="005F42DB" w:rsidP="00D357F5">
      <w:pPr>
        <w:rPr>
          <w:bCs/>
          <w:i/>
          <w:iCs/>
        </w:rPr>
      </w:pPr>
      <w:r>
        <w:rPr>
          <w:bCs/>
          <w:i/>
          <w:iCs/>
        </w:rPr>
        <w:t>What was the p</w:t>
      </w:r>
      <w:r w:rsidR="00D357F5" w:rsidRPr="00D357F5">
        <w:rPr>
          <w:bCs/>
          <w:i/>
          <w:iCs/>
        </w:rPr>
        <w:t>rofessional response to</w:t>
      </w:r>
      <w:r>
        <w:rPr>
          <w:bCs/>
          <w:i/>
          <w:iCs/>
        </w:rPr>
        <w:t xml:space="preserve"> concerns of</w:t>
      </w:r>
      <w:r w:rsidR="00D357F5" w:rsidRPr="00D357F5">
        <w:rPr>
          <w:bCs/>
          <w:i/>
          <w:iCs/>
        </w:rPr>
        <w:t xml:space="preserve"> self-neglect</w:t>
      </w:r>
      <w:r w:rsidR="00217FF1">
        <w:rPr>
          <w:bCs/>
          <w:i/>
          <w:iCs/>
        </w:rPr>
        <w:t>?</w:t>
      </w:r>
    </w:p>
    <w:p w14:paraId="64FF5644" w14:textId="77777777" w:rsidR="00042F17" w:rsidRDefault="00042F17" w:rsidP="00CF4C5E">
      <w:pPr>
        <w:rPr>
          <w:bCs/>
        </w:rPr>
      </w:pPr>
    </w:p>
    <w:p w14:paraId="5A47A7E3" w14:textId="25859019" w:rsidR="00042F17" w:rsidRPr="00FE33D8" w:rsidRDefault="00FE33D8" w:rsidP="00CF4C5E">
      <w:pPr>
        <w:rPr>
          <w:b/>
        </w:rPr>
      </w:pPr>
      <w:r w:rsidRPr="00FE33D8">
        <w:rPr>
          <w:b/>
        </w:rPr>
        <w:t>Context</w:t>
      </w:r>
    </w:p>
    <w:p w14:paraId="33FF20D3" w14:textId="0391CF95" w:rsidR="00FE33D8" w:rsidRDefault="00DC21C9" w:rsidP="00CF4C5E">
      <w:pPr>
        <w:rPr>
          <w:bCs/>
        </w:rPr>
      </w:pPr>
      <w:r w:rsidRPr="00DC21C9">
        <w:rPr>
          <w:bCs/>
        </w:rPr>
        <w:t>Care and Support Guidance defines self-neglect as</w:t>
      </w:r>
      <w:r w:rsidR="00E65612">
        <w:rPr>
          <w:bCs/>
        </w:rPr>
        <w:t xml:space="preserve"> encompassing</w:t>
      </w:r>
      <w:r w:rsidRPr="00DC21C9">
        <w:rPr>
          <w:bCs/>
        </w:rPr>
        <w:t xml:space="preserve"> “a wide range of behaviour neglecting to care for one’s personal hygiene, health or surroundings and includes behaviour such as hoarding”</w:t>
      </w:r>
      <w:sdt>
        <w:sdtPr>
          <w:rPr>
            <w:bCs/>
          </w:rPr>
          <w:id w:val="613013345"/>
          <w:citation/>
        </w:sdtPr>
        <w:sdtEndPr/>
        <w:sdtContent>
          <w:r>
            <w:rPr>
              <w:bCs/>
            </w:rPr>
            <w:fldChar w:fldCharType="begin"/>
          </w:r>
          <w:r>
            <w:rPr>
              <w:bCs/>
            </w:rPr>
            <w:instrText xml:space="preserve"> CITATION Placeholder2 \l 2057 </w:instrText>
          </w:r>
          <w:r>
            <w:rPr>
              <w:bCs/>
            </w:rPr>
            <w:fldChar w:fldCharType="separate"/>
          </w:r>
          <w:r w:rsidR="00094ACC">
            <w:rPr>
              <w:bCs/>
              <w:noProof/>
            </w:rPr>
            <w:t xml:space="preserve"> </w:t>
          </w:r>
          <w:r w:rsidR="00094ACC">
            <w:rPr>
              <w:noProof/>
            </w:rPr>
            <w:t>(DHSC, 2023)</w:t>
          </w:r>
          <w:r>
            <w:rPr>
              <w:bCs/>
            </w:rPr>
            <w:fldChar w:fldCharType="end"/>
          </w:r>
        </w:sdtContent>
      </w:sdt>
      <w:r>
        <w:rPr>
          <w:bCs/>
        </w:rPr>
        <w:t xml:space="preserve">. </w:t>
      </w:r>
      <w:r w:rsidR="00BC3966">
        <w:rPr>
          <w:bCs/>
        </w:rPr>
        <w:t xml:space="preserve">Research into self-neglect </w:t>
      </w:r>
      <w:r w:rsidR="004665B4">
        <w:rPr>
          <w:bCs/>
        </w:rPr>
        <w:t>on the</w:t>
      </w:r>
      <w:r w:rsidR="00135055">
        <w:rPr>
          <w:bCs/>
        </w:rPr>
        <w:t xml:space="preserve"> causes and risk factors for self-neglect </w:t>
      </w:r>
      <w:r w:rsidR="004665B4">
        <w:rPr>
          <w:bCs/>
        </w:rPr>
        <w:t xml:space="preserve">often focuses on health-related or underlying medical causes </w:t>
      </w:r>
      <w:r w:rsidR="00BB08EE">
        <w:rPr>
          <w:bCs/>
        </w:rPr>
        <w:t xml:space="preserve">connected to </w:t>
      </w:r>
      <w:r w:rsidR="002A4DC9">
        <w:rPr>
          <w:bCs/>
        </w:rPr>
        <w:t xml:space="preserve">an individual’s own capabilities, illnesses, and </w:t>
      </w:r>
      <w:r w:rsidR="00517BE7">
        <w:rPr>
          <w:bCs/>
        </w:rPr>
        <w:t>mental health. Commonly cited causes include</w:t>
      </w:r>
      <w:r w:rsidR="00D02917">
        <w:rPr>
          <w:bCs/>
        </w:rPr>
        <w:t>, but are not limited to</w:t>
      </w:r>
      <w:r w:rsidR="00517BE7">
        <w:rPr>
          <w:bCs/>
        </w:rPr>
        <w:t>:</w:t>
      </w:r>
      <w:r w:rsidR="00A627F4">
        <w:rPr>
          <w:bCs/>
        </w:rPr>
        <w:t xml:space="preserve"> </w:t>
      </w:r>
    </w:p>
    <w:p w14:paraId="2A1DECCE" w14:textId="77777777" w:rsidR="00362FAC" w:rsidRDefault="00362FAC" w:rsidP="00CF4C5E">
      <w:pPr>
        <w:rPr>
          <w:bCs/>
        </w:rPr>
      </w:pPr>
    </w:p>
    <w:p w14:paraId="45417E87" w14:textId="77777777" w:rsidR="0073574D" w:rsidRDefault="0073574D" w:rsidP="00517BE7">
      <w:pPr>
        <w:pStyle w:val="ListParagraph"/>
        <w:numPr>
          <w:ilvl w:val="0"/>
          <w:numId w:val="16"/>
        </w:numPr>
        <w:rPr>
          <w:bCs/>
        </w:rPr>
      </w:pPr>
      <w:r>
        <w:rPr>
          <w:bCs/>
        </w:rPr>
        <w:t>Dementia</w:t>
      </w:r>
    </w:p>
    <w:p w14:paraId="5BAB9869" w14:textId="02139B82" w:rsidR="00517BE7" w:rsidRDefault="0073574D" w:rsidP="00517BE7">
      <w:pPr>
        <w:pStyle w:val="ListParagraph"/>
        <w:numPr>
          <w:ilvl w:val="0"/>
          <w:numId w:val="16"/>
        </w:numPr>
        <w:rPr>
          <w:bCs/>
        </w:rPr>
      </w:pPr>
      <w:r>
        <w:rPr>
          <w:bCs/>
        </w:rPr>
        <w:t>Brain injury</w:t>
      </w:r>
    </w:p>
    <w:p w14:paraId="1A60C701" w14:textId="244DEE78" w:rsidR="0073574D" w:rsidRDefault="0073574D" w:rsidP="00517BE7">
      <w:pPr>
        <w:pStyle w:val="ListParagraph"/>
        <w:numPr>
          <w:ilvl w:val="0"/>
          <w:numId w:val="16"/>
        </w:numPr>
        <w:rPr>
          <w:bCs/>
        </w:rPr>
      </w:pPr>
      <w:r>
        <w:rPr>
          <w:bCs/>
        </w:rPr>
        <w:t>Obsessive Compulsive Disorder</w:t>
      </w:r>
    </w:p>
    <w:p w14:paraId="668D141C" w14:textId="326B3A87" w:rsidR="0053595D" w:rsidRDefault="0053595D" w:rsidP="00517BE7">
      <w:pPr>
        <w:pStyle w:val="ListParagraph"/>
        <w:numPr>
          <w:ilvl w:val="0"/>
          <w:numId w:val="16"/>
        </w:numPr>
        <w:rPr>
          <w:bCs/>
        </w:rPr>
      </w:pPr>
      <w:r>
        <w:rPr>
          <w:bCs/>
        </w:rPr>
        <w:t>Physical illness,</w:t>
      </w:r>
      <w:r w:rsidR="00E847EB">
        <w:rPr>
          <w:bCs/>
        </w:rPr>
        <w:t xml:space="preserve"> reduced energy levels, </w:t>
      </w:r>
      <w:r w:rsidR="00214236">
        <w:rPr>
          <w:bCs/>
        </w:rPr>
        <w:t xml:space="preserve">attention, or </w:t>
      </w:r>
      <w:proofErr w:type="spellStart"/>
      <w:r w:rsidR="00214236">
        <w:rPr>
          <w:bCs/>
        </w:rPr>
        <w:t>organisational</w:t>
      </w:r>
      <w:proofErr w:type="spellEnd"/>
      <w:r w:rsidR="00214236">
        <w:rPr>
          <w:bCs/>
        </w:rPr>
        <w:t xml:space="preserve"> skills and motivation</w:t>
      </w:r>
    </w:p>
    <w:p w14:paraId="31CC16B2" w14:textId="6D7E27A5" w:rsidR="00214236" w:rsidRDefault="00214236" w:rsidP="00517BE7">
      <w:pPr>
        <w:pStyle w:val="ListParagraph"/>
        <w:numPr>
          <w:ilvl w:val="0"/>
          <w:numId w:val="16"/>
        </w:numPr>
        <w:rPr>
          <w:bCs/>
        </w:rPr>
      </w:pPr>
      <w:r>
        <w:rPr>
          <w:bCs/>
        </w:rPr>
        <w:t xml:space="preserve">Reduced motivation as a </w:t>
      </w:r>
      <w:r w:rsidR="00714C9D">
        <w:rPr>
          <w:bCs/>
        </w:rPr>
        <w:t>side effect of medication</w:t>
      </w:r>
    </w:p>
    <w:p w14:paraId="409A4379" w14:textId="0682A95B" w:rsidR="00714C9D" w:rsidRDefault="00714C9D" w:rsidP="00517BE7">
      <w:pPr>
        <w:pStyle w:val="ListParagraph"/>
        <w:numPr>
          <w:ilvl w:val="0"/>
          <w:numId w:val="16"/>
        </w:numPr>
        <w:rPr>
          <w:bCs/>
        </w:rPr>
      </w:pPr>
      <w:r>
        <w:rPr>
          <w:bCs/>
        </w:rPr>
        <w:t>Addictions</w:t>
      </w:r>
    </w:p>
    <w:p w14:paraId="746C9E5B" w14:textId="1332C3E7" w:rsidR="005754A7" w:rsidRDefault="005754A7" w:rsidP="00517BE7">
      <w:pPr>
        <w:pStyle w:val="ListParagraph"/>
        <w:numPr>
          <w:ilvl w:val="0"/>
          <w:numId w:val="16"/>
        </w:numPr>
        <w:rPr>
          <w:bCs/>
        </w:rPr>
      </w:pPr>
      <w:r>
        <w:rPr>
          <w:bCs/>
        </w:rPr>
        <w:t>Social isolation</w:t>
      </w:r>
    </w:p>
    <w:p w14:paraId="7EB65DC7" w14:textId="5B88D218" w:rsidR="005754A7" w:rsidRPr="005754A7" w:rsidRDefault="00714C9D" w:rsidP="005754A7">
      <w:pPr>
        <w:pStyle w:val="ListParagraph"/>
        <w:numPr>
          <w:ilvl w:val="0"/>
          <w:numId w:val="16"/>
        </w:numPr>
        <w:rPr>
          <w:bCs/>
        </w:rPr>
      </w:pPr>
      <w:r>
        <w:rPr>
          <w:bCs/>
        </w:rPr>
        <w:t>Traumatic life-change</w:t>
      </w:r>
      <w:r w:rsidR="00FE787A">
        <w:rPr>
          <w:bCs/>
        </w:rPr>
        <w:t>, such as a loss of a carer or loved one</w:t>
      </w:r>
      <w:r w:rsidR="005754A7">
        <w:rPr>
          <w:bCs/>
        </w:rPr>
        <w:t>.</w:t>
      </w:r>
    </w:p>
    <w:p w14:paraId="379F2A50" w14:textId="7D800F4B" w:rsidR="00714C9D" w:rsidRDefault="008A56FF" w:rsidP="001430A9">
      <w:pPr>
        <w:ind w:left="360" w:firstLine="360"/>
        <w:rPr>
          <w:bCs/>
        </w:rPr>
      </w:pPr>
      <w:sdt>
        <w:sdtPr>
          <w:rPr>
            <w:bCs/>
          </w:rPr>
          <w:id w:val="-181131313"/>
          <w:citation/>
        </w:sdtPr>
        <w:sdtEndPr/>
        <w:sdtContent>
          <w:r w:rsidR="004665B4">
            <w:rPr>
              <w:bCs/>
            </w:rPr>
            <w:fldChar w:fldCharType="begin"/>
          </w:r>
          <w:r w:rsidR="004665B4">
            <w:rPr>
              <w:bCs/>
            </w:rPr>
            <w:instrText xml:space="preserve"> CITATION SCI18 \l 2057 </w:instrText>
          </w:r>
          <w:r w:rsidR="004665B4">
            <w:rPr>
              <w:bCs/>
            </w:rPr>
            <w:fldChar w:fldCharType="separate"/>
          </w:r>
          <w:r w:rsidR="00094ACC">
            <w:rPr>
              <w:noProof/>
            </w:rPr>
            <w:t>(SCIE, 2018)</w:t>
          </w:r>
          <w:r w:rsidR="004665B4">
            <w:rPr>
              <w:bCs/>
            </w:rPr>
            <w:fldChar w:fldCharType="end"/>
          </w:r>
        </w:sdtContent>
      </w:sdt>
      <w:sdt>
        <w:sdtPr>
          <w:rPr>
            <w:bCs/>
          </w:rPr>
          <w:id w:val="984897331"/>
          <w:citation/>
        </w:sdtPr>
        <w:sdtEndPr/>
        <w:sdtContent>
          <w:r w:rsidR="007E1E9A">
            <w:rPr>
              <w:bCs/>
            </w:rPr>
            <w:fldChar w:fldCharType="begin"/>
          </w:r>
          <w:r w:rsidR="007E1E9A">
            <w:rPr>
              <w:bCs/>
            </w:rPr>
            <w:instrText xml:space="preserve"> CITATION Abu20 \l 2057 </w:instrText>
          </w:r>
          <w:r w:rsidR="007E1E9A">
            <w:rPr>
              <w:bCs/>
            </w:rPr>
            <w:fldChar w:fldCharType="separate"/>
          </w:r>
          <w:r w:rsidR="00094ACC">
            <w:rPr>
              <w:bCs/>
              <w:noProof/>
            </w:rPr>
            <w:t xml:space="preserve"> </w:t>
          </w:r>
          <w:r w:rsidR="00094ACC">
            <w:rPr>
              <w:noProof/>
            </w:rPr>
            <w:t>(Abumaria, 2020)</w:t>
          </w:r>
          <w:r w:rsidR="007E1E9A">
            <w:rPr>
              <w:bCs/>
            </w:rPr>
            <w:fldChar w:fldCharType="end"/>
          </w:r>
        </w:sdtContent>
      </w:sdt>
    </w:p>
    <w:p w14:paraId="4A462E14" w14:textId="77777777" w:rsidR="00B078D2" w:rsidRDefault="00B078D2" w:rsidP="00CF4C5E">
      <w:pPr>
        <w:rPr>
          <w:bCs/>
        </w:rPr>
      </w:pPr>
    </w:p>
    <w:p w14:paraId="33272D20" w14:textId="77777777" w:rsidR="00362FAC" w:rsidRDefault="005D7812" w:rsidP="00C00C98">
      <w:pPr>
        <w:rPr>
          <w:bCs/>
        </w:rPr>
      </w:pPr>
      <w:r>
        <w:rPr>
          <w:bCs/>
        </w:rPr>
        <w:t>I</w:t>
      </w:r>
      <w:r w:rsidR="00F805DD">
        <w:rPr>
          <w:bCs/>
        </w:rPr>
        <w:t>ndividuals may also self-neglect as a result of extreme poverty and lack of financial resources, food insecurity, or as a result of influence or abuse by others</w:t>
      </w:r>
      <w:r>
        <w:rPr>
          <w:bCs/>
        </w:rPr>
        <w:t xml:space="preserve">. </w:t>
      </w:r>
    </w:p>
    <w:p w14:paraId="36D5FA5A" w14:textId="77777777" w:rsidR="00362FAC" w:rsidRDefault="00362FAC" w:rsidP="00C00C98">
      <w:pPr>
        <w:rPr>
          <w:bCs/>
        </w:rPr>
      </w:pPr>
    </w:p>
    <w:p w14:paraId="61BF0E14" w14:textId="3EA402A3" w:rsidR="00FC3039" w:rsidRDefault="00362FAC" w:rsidP="00C00C98">
      <w:pPr>
        <w:rPr>
          <w:bCs/>
        </w:rPr>
      </w:pPr>
      <w:r>
        <w:rPr>
          <w:bCs/>
        </w:rPr>
        <w:t>Guidance on</w:t>
      </w:r>
      <w:r w:rsidR="009D2337">
        <w:rPr>
          <w:bCs/>
        </w:rPr>
        <w:t xml:space="preserve"> the</w:t>
      </w:r>
      <w:r>
        <w:rPr>
          <w:bCs/>
        </w:rPr>
        <w:t xml:space="preserve"> Salford Safeguarding Adults’ Board website states that </w:t>
      </w:r>
      <w:r w:rsidR="00963FD7" w:rsidRPr="00DE7481">
        <w:rPr>
          <w:bCs/>
          <w:i/>
          <w:iCs/>
        </w:rPr>
        <w:t>Serious self-neglect is a complex issue which usually encompass a complex interplay between mental, physical, social and environmental factors. It frequently covers inter-related issues such as drug and alcohol misuse, homelessness, street working, mental health issues, criminality, anti-social behaviour, inability to access benefits and / or other health related issues</w:t>
      </w:r>
      <w:r w:rsidR="00DE7481" w:rsidRPr="00DE7481">
        <w:rPr>
          <w:bCs/>
          <w:i/>
          <w:iCs/>
        </w:rPr>
        <w:t>”</w:t>
      </w:r>
      <w:r w:rsidR="00A627F4">
        <w:rPr>
          <w:rStyle w:val="FootnoteReference"/>
          <w:bCs/>
          <w:i/>
          <w:iCs/>
        </w:rPr>
        <w:footnoteReference w:id="2"/>
      </w:r>
      <w:r w:rsidR="00DE7481">
        <w:rPr>
          <w:bCs/>
        </w:rPr>
        <w:t xml:space="preserve"> </w:t>
      </w:r>
      <w:sdt>
        <w:sdtPr>
          <w:rPr>
            <w:bCs/>
          </w:rPr>
          <w:id w:val="1157042160"/>
          <w:citation/>
        </w:sdtPr>
        <w:sdtEndPr/>
        <w:sdtContent>
          <w:r w:rsidR="00DE7481">
            <w:rPr>
              <w:bCs/>
            </w:rPr>
            <w:fldChar w:fldCharType="begin"/>
          </w:r>
          <w:r w:rsidR="00DE7481">
            <w:rPr>
              <w:bCs/>
            </w:rPr>
            <w:instrText xml:space="preserve"> CITATION Sal23 \l 2057 </w:instrText>
          </w:r>
          <w:r w:rsidR="00DE7481">
            <w:rPr>
              <w:bCs/>
            </w:rPr>
            <w:fldChar w:fldCharType="separate"/>
          </w:r>
          <w:r w:rsidR="00094ACC">
            <w:rPr>
              <w:noProof/>
            </w:rPr>
            <w:t>(SSAB, 2023)</w:t>
          </w:r>
          <w:r w:rsidR="00DE7481">
            <w:rPr>
              <w:bCs/>
            </w:rPr>
            <w:fldChar w:fldCharType="end"/>
          </w:r>
        </w:sdtContent>
      </w:sdt>
      <w:r w:rsidR="00963FD7" w:rsidRPr="00963FD7">
        <w:rPr>
          <w:bCs/>
        </w:rPr>
        <w:t>.</w:t>
      </w:r>
    </w:p>
    <w:p w14:paraId="09B9A0F7" w14:textId="77777777" w:rsidR="00FC3039" w:rsidRDefault="00FC3039" w:rsidP="00C00C98">
      <w:pPr>
        <w:rPr>
          <w:bCs/>
        </w:rPr>
      </w:pPr>
    </w:p>
    <w:p w14:paraId="1C10FD9A" w14:textId="1B681EA6" w:rsidR="00995CAC" w:rsidRDefault="0058043B" w:rsidP="00C00C98">
      <w:pPr>
        <w:rPr>
          <w:bCs/>
        </w:rPr>
      </w:pPr>
      <w:r>
        <w:rPr>
          <w:bCs/>
        </w:rPr>
        <w:t xml:space="preserve">Preston-Shoot (2018) </w:t>
      </w:r>
      <w:r w:rsidR="0057753D">
        <w:rPr>
          <w:bCs/>
        </w:rPr>
        <w:t xml:space="preserve">identifies practice with the individual adult as the first domain </w:t>
      </w:r>
      <w:r w:rsidR="004E5C6A">
        <w:rPr>
          <w:bCs/>
        </w:rPr>
        <w:t xml:space="preserve">of themes from cross-case analysis </w:t>
      </w:r>
      <w:r w:rsidR="003A6B4E">
        <w:rPr>
          <w:bCs/>
        </w:rPr>
        <w:t xml:space="preserve">of learning from Safeguarding Adults Reviews </w:t>
      </w:r>
      <w:sdt>
        <w:sdtPr>
          <w:rPr>
            <w:bCs/>
          </w:rPr>
          <w:id w:val="-1442295910"/>
          <w:citation/>
        </w:sdtPr>
        <w:sdtEndPr/>
        <w:sdtContent>
          <w:r w:rsidR="003A6B4E">
            <w:rPr>
              <w:bCs/>
            </w:rPr>
            <w:fldChar w:fldCharType="begin"/>
          </w:r>
          <w:r w:rsidR="003A6B4E">
            <w:rPr>
              <w:bCs/>
            </w:rPr>
            <w:instrText xml:space="preserve"> CITATION Pre18 \l 2057 </w:instrText>
          </w:r>
          <w:r w:rsidR="003A6B4E">
            <w:rPr>
              <w:bCs/>
            </w:rPr>
            <w:fldChar w:fldCharType="separate"/>
          </w:r>
          <w:r w:rsidR="00094ACC">
            <w:rPr>
              <w:noProof/>
            </w:rPr>
            <w:t>(Preston-Shoot M. , 2018)</w:t>
          </w:r>
          <w:r w:rsidR="003A6B4E">
            <w:rPr>
              <w:bCs/>
            </w:rPr>
            <w:fldChar w:fldCharType="end"/>
          </w:r>
        </w:sdtContent>
      </w:sdt>
      <w:r w:rsidR="003A6B4E">
        <w:rPr>
          <w:bCs/>
        </w:rPr>
        <w:t xml:space="preserve">. Within this domain recommendations </w:t>
      </w:r>
      <w:r w:rsidR="00737630">
        <w:rPr>
          <w:bCs/>
        </w:rPr>
        <w:t>from reviews included:</w:t>
      </w:r>
      <w:r w:rsidR="00F805DD">
        <w:rPr>
          <w:bCs/>
        </w:rPr>
        <w:t xml:space="preserve"> consideration of </w:t>
      </w:r>
      <w:r w:rsidR="00F805DD" w:rsidRPr="00F805DD">
        <w:rPr>
          <w:bCs/>
        </w:rPr>
        <w:t>r</w:t>
      </w:r>
      <w:r w:rsidR="00AB23B6" w:rsidRPr="00F805DD">
        <w:rPr>
          <w:bCs/>
        </w:rPr>
        <w:t xml:space="preserve">epeated </w:t>
      </w:r>
      <w:r w:rsidR="00F805DD" w:rsidRPr="00F805DD">
        <w:rPr>
          <w:bCs/>
        </w:rPr>
        <w:t>patterns</w:t>
      </w:r>
      <w:r w:rsidR="00F805DD">
        <w:rPr>
          <w:rFonts w:eastAsia="Calibri" w:cs="Arial"/>
          <w:bCs/>
          <w:lang w:val="en-US"/>
        </w:rPr>
        <w:t xml:space="preserve">, the tension </w:t>
      </w:r>
      <w:r w:rsidR="00995CAC">
        <w:rPr>
          <w:bCs/>
        </w:rPr>
        <w:t>between</w:t>
      </w:r>
      <w:r w:rsidRPr="00737630">
        <w:rPr>
          <w:bCs/>
        </w:rPr>
        <w:t xml:space="preserve"> autonomy </w:t>
      </w:r>
      <w:r w:rsidR="00995CAC">
        <w:rPr>
          <w:bCs/>
        </w:rPr>
        <w:t xml:space="preserve">and </w:t>
      </w:r>
      <w:r w:rsidRPr="00737630">
        <w:rPr>
          <w:bCs/>
        </w:rPr>
        <w:t>duty of care</w:t>
      </w:r>
      <w:r w:rsidR="00F805DD">
        <w:rPr>
          <w:bCs/>
        </w:rPr>
        <w:t>, and c</w:t>
      </w:r>
      <w:r w:rsidR="000118B0" w:rsidRPr="00F805DD">
        <w:rPr>
          <w:bCs/>
        </w:rPr>
        <w:t>riticism of mental capacity assessments</w:t>
      </w:r>
      <w:r w:rsidR="0004611D">
        <w:rPr>
          <w:bCs/>
        </w:rPr>
        <w:t xml:space="preserve"> </w:t>
      </w:r>
      <w:sdt>
        <w:sdtPr>
          <w:rPr>
            <w:bCs/>
          </w:rPr>
          <w:id w:val="-1489238771"/>
          <w:citation/>
        </w:sdtPr>
        <w:sdtEndPr/>
        <w:sdtContent>
          <w:r w:rsidR="0004611D">
            <w:rPr>
              <w:bCs/>
            </w:rPr>
            <w:fldChar w:fldCharType="begin"/>
          </w:r>
          <w:r w:rsidR="0004611D">
            <w:rPr>
              <w:bCs/>
            </w:rPr>
            <w:instrText xml:space="preserve"> CITATION Pre18 \l 2057 </w:instrText>
          </w:r>
          <w:r w:rsidR="0004611D">
            <w:rPr>
              <w:bCs/>
            </w:rPr>
            <w:fldChar w:fldCharType="separate"/>
          </w:r>
          <w:r w:rsidR="00094ACC">
            <w:rPr>
              <w:noProof/>
            </w:rPr>
            <w:t>(Preston-Shoot M. , 2018)</w:t>
          </w:r>
          <w:r w:rsidR="0004611D">
            <w:rPr>
              <w:bCs/>
            </w:rPr>
            <w:fldChar w:fldCharType="end"/>
          </w:r>
        </w:sdtContent>
      </w:sdt>
      <w:r w:rsidR="00F805DD">
        <w:rPr>
          <w:bCs/>
        </w:rPr>
        <w:t>.</w:t>
      </w:r>
      <w:r w:rsidR="001E723A">
        <w:rPr>
          <w:bCs/>
        </w:rPr>
        <w:t xml:space="preserve"> </w:t>
      </w:r>
      <w:r w:rsidR="000A7429">
        <w:rPr>
          <w:bCs/>
        </w:rPr>
        <w:t xml:space="preserve">Safeguarding Adults Reviews also emphasise a </w:t>
      </w:r>
      <w:r w:rsidR="00A1012F" w:rsidRPr="00A1012F">
        <w:rPr>
          <w:bCs/>
        </w:rPr>
        <w:t>person-centred, relationship-based approach</w:t>
      </w:r>
      <w:r w:rsidR="000A7429">
        <w:rPr>
          <w:bCs/>
        </w:rPr>
        <w:t xml:space="preserve"> based upon developing trust, exploring </w:t>
      </w:r>
      <w:r w:rsidR="00FB5B8A">
        <w:rPr>
          <w:bCs/>
        </w:rPr>
        <w:t xml:space="preserve">the reasons for self-neglect and individual perspectives and preferences, </w:t>
      </w:r>
      <w:r w:rsidR="00C00C98">
        <w:rPr>
          <w:bCs/>
        </w:rPr>
        <w:t>offering support</w:t>
      </w:r>
      <w:r w:rsidR="00B7336B">
        <w:rPr>
          <w:bCs/>
        </w:rPr>
        <w:t>,</w:t>
      </w:r>
      <w:r w:rsidR="00C00C98">
        <w:rPr>
          <w:bCs/>
        </w:rPr>
        <w:t xml:space="preserve"> and negotiating interventions (ibid.)</w:t>
      </w:r>
      <w:r w:rsidR="00A8062F">
        <w:rPr>
          <w:bCs/>
        </w:rPr>
        <w:t>.</w:t>
      </w:r>
    </w:p>
    <w:p w14:paraId="7DFA9EC4" w14:textId="77777777" w:rsidR="00A627F4" w:rsidRDefault="00A627F4" w:rsidP="00C00C98">
      <w:pPr>
        <w:rPr>
          <w:bCs/>
        </w:rPr>
      </w:pPr>
    </w:p>
    <w:p w14:paraId="3027905F" w14:textId="24E4C899" w:rsidR="00FE33D8" w:rsidRPr="00FE33D8" w:rsidRDefault="00FE33D8" w:rsidP="00CF4C5E">
      <w:pPr>
        <w:rPr>
          <w:b/>
        </w:rPr>
      </w:pPr>
      <w:r w:rsidRPr="00FE33D8">
        <w:rPr>
          <w:b/>
        </w:rPr>
        <w:t>Findings</w:t>
      </w:r>
    </w:p>
    <w:p w14:paraId="0A156F10" w14:textId="77777777" w:rsidR="00C35A65" w:rsidRDefault="00C35A65" w:rsidP="00CF4C5E">
      <w:pPr>
        <w:rPr>
          <w:bCs/>
        </w:rPr>
      </w:pPr>
    </w:p>
    <w:p w14:paraId="6D57BA66" w14:textId="7F91FE15" w:rsidR="00757A0F" w:rsidRDefault="00C10E5B" w:rsidP="00CF4C5E">
      <w:pPr>
        <w:rPr>
          <w:bCs/>
        </w:rPr>
      </w:pPr>
      <w:r>
        <w:rPr>
          <w:bCs/>
        </w:rPr>
        <w:t xml:space="preserve">Concerns about </w:t>
      </w:r>
      <w:r w:rsidR="00563C51">
        <w:rPr>
          <w:bCs/>
        </w:rPr>
        <w:t>Francis</w:t>
      </w:r>
      <w:r>
        <w:rPr>
          <w:bCs/>
        </w:rPr>
        <w:t xml:space="preserve"> fell into two broad categories: concern about his home environment</w:t>
      </w:r>
      <w:r w:rsidR="00DC6D21">
        <w:rPr>
          <w:bCs/>
        </w:rPr>
        <w:t xml:space="preserve">, and </w:t>
      </w:r>
      <w:r w:rsidR="00170133">
        <w:rPr>
          <w:bCs/>
        </w:rPr>
        <w:t xml:space="preserve">concerns about </w:t>
      </w:r>
      <w:r w:rsidR="00DC6D21">
        <w:rPr>
          <w:bCs/>
        </w:rPr>
        <w:t xml:space="preserve">his health. Concerns about his </w:t>
      </w:r>
      <w:r w:rsidR="001D39E8">
        <w:rPr>
          <w:bCs/>
        </w:rPr>
        <w:t xml:space="preserve">home environment </w:t>
      </w:r>
      <w:r w:rsidR="001222ED">
        <w:rPr>
          <w:bCs/>
        </w:rPr>
        <w:t>related to</w:t>
      </w:r>
      <w:r w:rsidR="00885B7C">
        <w:rPr>
          <w:bCs/>
        </w:rPr>
        <w:t xml:space="preserve"> the security of his property, </w:t>
      </w:r>
      <w:r w:rsidR="001222ED">
        <w:rPr>
          <w:bCs/>
        </w:rPr>
        <w:t xml:space="preserve">utilities, and cleanliness and clutter. In relation to </w:t>
      </w:r>
      <w:r w:rsidR="00563C51">
        <w:rPr>
          <w:bCs/>
        </w:rPr>
        <w:t>Francis’</w:t>
      </w:r>
      <w:r w:rsidR="001222ED">
        <w:rPr>
          <w:bCs/>
        </w:rPr>
        <w:t xml:space="preserve"> health,</w:t>
      </w:r>
      <w:r w:rsidR="00B21304">
        <w:rPr>
          <w:bCs/>
        </w:rPr>
        <w:t xml:space="preserve"> concerns</w:t>
      </w:r>
      <w:r w:rsidR="001222ED">
        <w:rPr>
          <w:bCs/>
        </w:rPr>
        <w:t xml:space="preserve"> focused primarily on the </w:t>
      </w:r>
      <w:r w:rsidR="00A9334A">
        <w:rPr>
          <w:bCs/>
        </w:rPr>
        <w:t xml:space="preserve">impact of alcohol use and poor medication compliance – the risk of seizures and </w:t>
      </w:r>
      <w:r w:rsidR="00170133">
        <w:rPr>
          <w:bCs/>
        </w:rPr>
        <w:t>physical collapse</w:t>
      </w:r>
      <w:r w:rsidR="00A9334A">
        <w:rPr>
          <w:bCs/>
        </w:rPr>
        <w:t>.</w:t>
      </w:r>
      <w:r w:rsidR="00362FAC">
        <w:rPr>
          <w:bCs/>
        </w:rPr>
        <w:t xml:space="preserve"> </w:t>
      </w:r>
      <w:r w:rsidR="00BA32E2">
        <w:rPr>
          <w:bCs/>
        </w:rPr>
        <w:t xml:space="preserve">Figure 2 </w:t>
      </w:r>
      <w:r w:rsidR="00B268E0">
        <w:rPr>
          <w:bCs/>
        </w:rPr>
        <w:t xml:space="preserve">demonstrates how </w:t>
      </w:r>
      <w:r w:rsidR="00170133">
        <w:rPr>
          <w:bCs/>
        </w:rPr>
        <w:t xml:space="preserve">different </w:t>
      </w:r>
      <w:r w:rsidR="00B268E0">
        <w:rPr>
          <w:bCs/>
        </w:rPr>
        <w:t>services</w:t>
      </w:r>
      <w:r w:rsidR="00E70F9D">
        <w:rPr>
          <w:bCs/>
        </w:rPr>
        <w:t xml:space="preserve"> responded </w:t>
      </w:r>
      <w:r w:rsidR="003A49DD">
        <w:rPr>
          <w:bCs/>
        </w:rPr>
        <w:t xml:space="preserve">to the </w:t>
      </w:r>
      <w:r w:rsidR="00777676">
        <w:rPr>
          <w:bCs/>
        </w:rPr>
        <w:t xml:space="preserve">concerns </w:t>
      </w:r>
      <w:r w:rsidR="00930FD6">
        <w:rPr>
          <w:bCs/>
        </w:rPr>
        <w:t>of</w:t>
      </w:r>
      <w:r w:rsidR="00777676">
        <w:rPr>
          <w:bCs/>
        </w:rPr>
        <w:t xml:space="preserve"> self-neglect: with social care responding </w:t>
      </w:r>
      <w:r w:rsidR="00E70F9D">
        <w:rPr>
          <w:bCs/>
        </w:rPr>
        <w:t xml:space="preserve">to environmental </w:t>
      </w:r>
      <w:r w:rsidR="00E264FE">
        <w:rPr>
          <w:bCs/>
        </w:rPr>
        <w:t xml:space="preserve">concerns, </w:t>
      </w:r>
      <w:r w:rsidR="00E70F9D">
        <w:rPr>
          <w:bCs/>
        </w:rPr>
        <w:t xml:space="preserve">and </w:t>
      </w:r>
      <w:r w:rsidR="00E264FE">
        <w:rPr>
          <w:bCs/>
        </w:rPr>
        <w:t xml:space="preserve">health focused on </w:t>
      </w:r>
      <w:r w:rsidR="00D80F9F">
        <w:rPr>
          <w:bCs/>
        </w:rPr>
        <w:t>medical self-neglect</w:t>
      </w:r>
      <w:r w:rsidR="00E264FE">
        <w:rPr>
          <w:bCs/>
        </w:rPr>
        <w:t>.</w:t>
      </w:r>
      <w:r w:rsidR="002C1516">
        <w:rPr>
          <w:bCs/>
        </w:rPr>
        <w:t xml:space="preserve"> </w:t>
      </w:r>
    </w:p>
    <w:p w14:paraId="09743DF8" w14:textId="77777777" w:rsidR="00BA4CD7" w:rsidRDefault="00BA4CD7" w:rsidP="00CF4C5E">
      <w:pPr>
        <w:rPr>
          <w:bCs/>
        </w:rPr>
      </w:pPr>
    </w:p>
    <w:p w14:paraId="1976F24A" w14:textId="58135F59" w:rsidR="007354B8" w:rsidRDefault="00BA4CD7" w:rsidP="00BA4CD7">
      <w:pPr>
        <w:jc w:val="center"/>
        <w:rPr>
          <w:bCs/>
        </w:rPr>
      </w:pPr>
      <w:r>
        <w:rPr>
          <w:bCs/>
          <w:noProof/>
        </w:rPr>
        <w:drawing>
          <wp:inline distT="0" distB="0" distL="0" distR="0" wp14:anchorId="7A3DB15F" wp14:editId="18197AEA">
            <wp:extent cx="5644961" cy="5288437"/>
            <wp:effectExtent l="0" t="0" r="0" b="7620"/>
            <wp:docPr id="1540476775" name="Picture 7"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476775" name="Picture 7" descr="A diagram of a diagram&#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649376" cy="5292573"/>
                    </a:xfrm>
                    <a:prstGeom prst="rect">
                      <a:avLst/>
                    </a:prstGeom>
                  </pic:spPr>
                </pic:pic>
              </a:graphicData>
            </a:graphic>
          </wp:inline>
        </w:drawing>
      </w:r>
    </w:p>
    <w:p w14:paraId="03570B3C" w14:textId="77777777" w:rsidR="00633C75" w:rsidRDefault="00633C75" w:rsidP="00CF4C5E">
      <w:pPr>
        <w:rPr>
          <w:bCs/>
        </w:rPr>
      </w:pPr>
    </w:p>
    <w:p w14:paraId="3FA17707" w14:textId="4D98A32E" w:rsidR="00633C75" w:rsidRPr="00DC6D21" w:rsidRDefault="00DC6D21" w:rsidP="00CF4C5E">
      <w:pPr>
        <w:rPr>
          <w:bCs/>
          <w:i/>
          <w:iCs/>
          <w:vertAlign w:val="subscript"/>
        </w:rPr>
      </w:pPr>
      <w:r>
        <w:rPr>
          <w:bCs/>
          <w:i/>
          <w:iCs/>
        </w:rPr>
        <w:t xml:space="preserve">Figure 2: </w:t>
      </w:r>
      <w:r w:rsidR="001D39E8">
        <w:rPr>
          <w:bCs/>
          <w:i/>
          <w:iCs/>
        </w:rPr>
        <w:t>How services responded to concerns amounting to self-neglect</w:t>
      </w:r>
    </w:p>
    <w:p w14:paraId="7C9C235A" w14:textId="77777777" w:rsidR="00E31F9B" w:rsidRPr="00A4566E" w:rsidRDefault="00E31F9B" w:rsidP="00E31F9B">
      <w:pPr>
        <w:rPr>
          <w:bCs/>
          <w:i/>
          <w:iCs/>
        </w:rPr>
      </w:pPr>
      <w:r>
        <w:rPr>
          <w:bCs/>
          <w:i/>
          <w:iCs/>
        </w:rPr>
        <w:t>Conceptualisation of self-neglect</w:t>
      </w:r>
    </w:p>
    <w:p w14:paraId="7A870225" w14:textId="144655E0" w:rsidR="000B422B" w:rsidRDefault="00B33954" w:rsidP="00CF4C5E">
      <w:pPr>
        <w:rPr>
          <w:bCs/>
        </w:rPr>
      </w:pPr>
      <w:r>
        <w:rPr>
          <w:bCs/>
        </w:rPr>
        <w:t xml:space="preserve">Multi-agency service responses to self-neglect in Salford are governed by the </w:t>
      </w:r>
      <w:r w:rsidR="00170224">
        <w:rPr>
          <w:bCs/>
        </w:rPr>
        <w:t>Safeguarding Adults Board policy and guidance which is published on the Safeguarding Adults Board website</w:t>
      </w:r>
      <w:r w:rsidR="00170224">
        <w:rPr>
          <w:rStyle w:val="FootnoteReference"/>
          <w:bCs/>
        </w:rPr>
        <w:footnoteReference w:id="3"/>
      </w:r>
      <w:r w:rsidR="00170224">
        <w:rPr>
          <w:bCs/>
        </w:rPr>
        <w:t xml:space="preserve"> </w:t>
      </w:r>
      <w:sdt>
        <w:sdtPr>
          <w:rPr>
            <w:bCs/>
          </w:rPr>
          <w:id w:val="2057036855"/>
          <w:citation/>
        </w:sdtPr>
        <w:sdtEndPr/>
        <w:sdtContent>
          <w:r w:rsidR="00170224">
            <w:rPr>
              <w:bCs/>
            </w:rPr>
            <w:fldChar w:fldCharType="begin"/>
          </w:r>
          <w:r w:rsidR="00170224">
            <w:rPr>
              <w:bCs/>
            </w:rPr>
            <w:instrText xml:space="preserve">CITATION Sal23 \l 2057 </w:instrText>
          </w:r>
          <w:r w:rsidR="00170224">
            <w:rPr>
              <w:bCs/>
            </w:rPr>
            <w:fldChar w:fldCharType="separate"/>
          </w:r>
          <w:r w:rsidR="00094ACC">
            <w:rPr>
              <w:noProof/>
            </w:rPr>
            <w:t>(SSAB, 2023)</w:t>
          </w:r>
          <w:r w:rsidR="00170224">
            <w:rPr>
              <w:bCs/>
            </w:rPr>
            <w:fldChar w:fldCharType="end"/>
          </w:r>
        </w:sdtContent>
      </w:sdt>
      <w:r w:rsidR="00170224">
        <w:rPr>
          <w:bCs/>
        </w:rPr>
        <w:t>.</w:t>
      </w:r>
      <w:r w:rsidR="0070564D">
        <w:rPr>
          <w:bCs/>
        </w:rPr>
        <w:t xml:space="preserve"> This guidance is </w:t>
      </w:r>
      <w:r w:rsidR="005D1231">
        <w:rPr>
          <w:bCs/>
        </w:rPr>
        <w:t>comprehensive,</w:t>
      </w:r>
      <w:r w:rsidR="0070564D">
        <w:rPr>
          <w:bCs/>
        </w:rPr>
        <w:t xml:space="preserve"> and evidence</w:t>
      </w:r>
      <w:r w:rsidR="005D1231">
        <w:rPr>
          <w:bCs/>
        </w:rPr>
        <w:t xml:space="preserve"> </w:t>
      </w:r>
      <w:r w:rsidR="0070564D">
        <w:rPr>
          <w:bCs/>
        </w:rPr>
        <w:t>based</w:t>
      </w:r>
      <w:r w:rsidR="005A17BE">
        <w:rPr>
          <w:bCs/>
        </w:rPr>
        <w:t xml:space="preserve">. The main part of the guidance </w:t>
      </w:r>
      <w:r w:rsidR="008C135B">
        <w:rPr>
          <w:bCs/>
        </w:rPr>
        <w:t>provid</w:t>
      </w:r>
      <w:r w:rsidR="005A17BE">
        <w:rPr>
          <w:bCs/>
        </w:rPr>
        <w:t>es</w:t>
      </w:r>
      <w:r w:rsidR="008C135B">
        <w:rPr>
          <w:bCs/>
        </w:rPr>
        <w:t xml:space="preserve"> </w:t>
      </w:r>
      <w:r w:rsidR="00193FB8">
        <w:rPr>
          <w:bCs/>
        </w:rPr>
        <w:t>including</w:t>
      </w:r>
      <w:r w:rsidR="00A716EE">
        <w:rPr>
          <w:bCs/>
        </w:rPr>
        <w:t xml:space="preserve"> sections on</w:t>
      </w:r>
      <w:r w:rsidR="00193FB8">
        <w:rPr>
          <w:bCs/>
        </w:rPr>
        <w:t>:</w:t>
      </w:r>
    </w:p>
    <w:p w14:paraId="7950B371" w14:textId="77777777" w:rsidR="00B82022" w:rsidRDefault="00B82022" w:rsidP="00CF4C5E">
      <w:pPr>
        <w:rPr>
          <w:bCs/>
        </w:rPr>
      </w:pPr>
    </w:p>
    <w:p w14:paraId="4A678485" w14:textId="603CD7DD" w:rsidR="00193FB8" w:rsidRDefault="004A6400" w:rsidP="004A6400">
      <w:pPr>
        <w:pStyle w:val="ListParagraph"/>
        <w:numPr>
          <w:ilvl w:val="0"/>
          <w:numId w:val="18"/>
        </w:numPr>
        <w:rPr>
          <w:bCs/>
        </w:rPr>
      </w:pPr>
      <w:r>
        <w:rPr>
          <w:bCs/>
        </w:rPr>
        <w:t>Definitions</w:t>
      </w:r>
    </w:p>
    <w:p w14:paraId="2FBAA4F1" w14:textId="728E81B5" w:rsidR="004A6400" w:rsidRDefault="004A6400" w:rsidP="004A6400">
      <w:pPr>
        <w:pStyle w:val="ListParagraph"/>
        <w:numPr>
          <w:ilvl w:val="0"/>
          <w:numId w:val="18"/>
        </w:numPr>
        <w:rPr>
          <w:bCs/>
        </w:rPr>
      </w:pPr>
      <w:r>
        <w:rPr>
          <w:bCs/>
        </w:rPr>
        <w:t>Guiding principles</w:t>
      </w:r>
    </w:p>
    <w:p w14:paraId="54006EDB" w14:textId="26EBF2E8" w:rsidR="004A6400" w:rsidRDefault="00A716EE" w:rsidP="004A6400">
      <w:pPr>
        <w:pStyle w:val="ListParagraph"/>
        <w:numPr>
          <w:ilvl w:val="0"/>
          <w:numId w:val="18"/>
        </w:numPr>
        <w:rPr>
          <w:bCs/>
        </w:rPr>
      </w:pPr>
      <w:r>
        <w:rPr>
          <w:bCs/>
        </w:rPr>
        <w:t>Empowerment and engagement</w:t>
      </w:r>
    </w:p>
    <w:p w14:paraId="5A472FBF" w14:textId="68EBB38F" w:rsidR="00A716EE" w:rsidRDefault="00A716EE" w:rsidP="004A6400">
      <w:pPr>
        <w:pStyle w:val="ListParagraph"/>
        <w:numPr>
          <w:ilvl w:val="0"/>
          <w:numId w:val="18"/>
        </w:numPr>
        <w:rPr>
          <w:bCs/>
        </w:rPr>
      </w:pPr>
      <w:r>
        <w:rPr>
          <w:bCs/>
        </w:rPr>
        <w:t>Responses to service refusal</w:t>
      </w:r>
    </w:p>
    <w:p w14:paraId="5B8240A7" w14:textId="47B9ADF4" w:rsidR="00AA23B4" w:rsidRDefault="00AA23B4" w:rsidP="004A6400">
      <w:pPr>
        <w:pStyle w:val="ListParagraph"/>
        <w:numPr>
          <w:ilvl w:val="0"/>
          <w:numId w:val="18"/>
        </w:numPr>
        <w:rPr>
          <w:bCs/>
        </w:rPr>
      </w:pPr>
      <w:r>
        <w:rPr>
          <w:bCs/>
        </w:rPr>
        <w:t>Legal framework</w:t>
      </w:r>
    </w:p>
    <w:p w14:paraId="48456EE4" w14:textId="49F5D0A6" w:rsidR="00AA23B4" w:rsidRDefault="00AA23B4" w:rsidP="004A6400">
      <w:pPr>
        <w:pStyle w:val="ListParagraph"/>
        <w:numPr>
          <w:ilvl w:val="0"/>
          <w:numId w:val="18"/>
        </w:numPr>
        <w:rPr>
          <w:bCs/>
        </w:rPr>
      </w:pPr>
      <w:r>
        <w:rPr>
          <w:bCs/>
        </w:rPr>
        <w:t>Mental capacity</w:t>
      </w:r>
    </w:p>
    <w:p w14:paraId="4E54FAB7" w14:textId="00254CF5" w:rsidR="00AA23B4" w:rsidRDefault="00AA23B4" w:rsidP="004A6400">
      <w:pPr>
        <w:pStyle w:val="ListParagraph"/>
        <w:numPr>
          <w:ilvl w:val="0"/>
          <w:numId w:val="18"/>
        </w:numPr>
        <w:rPr>
          <w:bCs/>
        </w:rPr>
      </w:pPr>
      <w:r>
        <w:rPr>
          <w:bCs/>
        </w:rPr>
        <w:t>Children</w:t>
      </w:r>
    </w:p>
    <w:p w14:paraId="264450C9" w14:textId="65504D7F" w:rsidR="00AA23B4" w:rsidRDefault="00AA23B4" w:rsidP="004A6400">
      <w:pPr>
        <w:pStyle w:val="ListParagraph"/>
        <w:numPr>
          <w:ilvl w:val="0"/>
          <w:numId w:val="18"/>
        </w:numPr>
        <w:rPr>
          <w:bCs/>
        </w:rPr>
      </w:pPr>
      <w:r>
        <w:rPr>
          <w:bCs/>
        </w:rPr>
        <w:t>Self-neglect and domestic abuse</w:t>
      </w:r>
    </w:p>
    <w:p w14:paraId="794BF7E7" w14:textId="68533FF7" w:rsidR="00AA23B4" w:rsidRDefault="005A17BE" w:rsidP="004A6400">
      <w:pPr>
        <w:pStyle w:val="ListParagraph"/>
        <w:numPr>
          <w:ilvl w:val="0"/>
          <w:numId w:val="18"/>
        </w:numPr>
        <w:rPr>
          <w:bCs/>
        </w:rPr>
      </w:pPr>
      <w:r>
        <w:rPr>
          <w:bCs/>
        </w:rPr>
        <w:t>Assessments</w:t>
      </w:r>
    </w:p>
    <w:p w14:paraId="481D76F6" w14:textId="15821F5D" w:rsidR="005A17BE" w:rsidRDefault="005A17BE" w:rsidP="004A6400">
      <w:pPr>
        <w:pStyle w:val="ListParagraph"/>
        <w:numPr>
          <w:ilvl w:val="0"/>
          <w:numId w:val="18"/>
        </w:numPr>
        <w:rPr>
          <w:bCs/>
        </w:rPr>
      </w:pPr>
      <w:r>
        <w:rPr>
          <w:bCs/>
        </w:rPr>
        <w:t>Interventions</w:t>
      </w:r>
    </w:p>
    <w:p w14:paraId="7EA15763" w14:textId="4B6CC23B" w:rsidR="005A17BE" w:rsidRPr="004A6400" w:rsidRDefault="005A17BE" w:rsidP="004A6400">
      <w:pPr>
        <w:pStyle w:val="ListParagraph"/>
        <w:numPr>
          <w:ilvl w:val="0"/>
          <w:numId w:val="18"/>
        </w:numPr>
        <w:rPr>
          <w:bCs/>
        </w:rPr>
      </w:pPr>
      <w:r>
        <w:rPr>
          <w:bCs/>
        </w:rPr>
        <w:t>Managing and monitoring self-neglect</w:t>
      </w:r>
    </w:p>
    <w:p w14:paraId="0FD93E73" w14:textId="77777777" w:rsidR="000B422B" w:rsidRDefault="000B422B" w:rsidP="00CF4C5E">
      <w:pPr>
        <w:rPr>
          <w:bCs/>
        </w:rPr>
      </w:pPr>
    </w:p>
    <w:p w14:paraId="6EB6A6F7" w14:textId="3354080C" w:rsidR="00A1343B" w:rsidRDefault="00C567BA" w:rsidP="00CF4C5E">
      <w:pPr>
        <w:rPr>
          <w:bCs/>
        </w:rPr>
      </w:pPr>
      <w:r>
        <w:rPr>
          <w:bCs/>
        </w:rPr>
        <w:t>The a</w:t>
      </w:r>
      <w:r w:rsidR="005A17BE">
        <w:rPr>
          <w:bCs/>
        </w:rPr>
        <w:t xml:space="preserve">ppendices to the guidance include </w:t>
      </w:r>
      <w:r w:rsidR="00704566">
        <w:rPr>
          <w:bCs/>
        </w:rPr>
        <w:t xml:space="preserve">further guidance, an assessment tool, case examples, </w:t>
      </w:r>
      <w:r w:rsidR="005D1231">
        <w:rPr>
          <w:bCs/>
        </w:rPr>
        <w:t>template agendas for multi-agency meetings and a hoarding scale.</w:t>
      </w:r>
      <w:r w:rsidR="00E31F9B">
        <w:rPr>
          <w:bCs/>
        </w:rPr>
        <w:t xml:space="preserve"> The guidance supports a multi-agency, person-centred approach, making space for engagement, the importance of relationship, and the analysis of </w:t>
      </w:r>
      <w:r w:rsidR="001A385A">
        <w:rPr>
          <w:bCs/>
        </w:rPr>
        <w:t xml:space="preserve">underlying </w:t>
      </w:r>
      <w:r w:rsidR="00A1343B">
        <w:rPr>
          <w:bCs/>
        </w:rPr>
        <w:t>causes, the guidance states:</w:t>
      </w:r>
    </w:p>
    <w:p w14:paraId="7EE64BCD" w14:textId="77777777" w:rsidR="00B82022" w:rsidRDefault="00B82022" w:rsidP="00CF4C5E">
      <w:pPr>
        <w:rPr>
          <w:bCs/>
        </w:rPr>
      </w:pPr>
    </w:p>
    <w:p w14:paraId="1589FAA1" w14:textId="195003EB" w:rsidR="00E31F9B" w:rsidRDefault="001A385A" w:rsidP="009970FA">
      <w:pPr>
        <w:ind w:left="720" w:right="686"/>
        <w:rPr>
          <w:bCs/>
        </w:rPr>
      </w:pPr>
      <w:r w:rsidRPr="00A1343B">
        <w:rPr>
          <w:bCs/>
          <w:i/>
          <w:iCs/>
        </w:rPr>
        <w:t>“</w:t>
      </w:r>
      <w:r w:rsidR="00A1343B" w:rsidRPr="00A1343B">
        <w:rPr>
          <w:bCs/>
          <w:i/>
          <w:iCs/>
        </w:rPr>
        <w:t xml:space="preserve">Self-neglect or hoarding needs to be understood in the context of each individual's life experience; there is no one overarching explanatory model for why people self-neglect or hoard. It is a complex interplay of association with physical, mental, social, personal and environmental factors. A starting point is trying to understand why the person is disengaging and the context for why they may mistrust services” </w:t>
      </w:r>
      <w:sdt>
        <w:sdtPr>
          <w:rPr>
            <w:bCs/>
            <w:i/>
            <w:iCs/>
          </w:rPr>
          <w:id w:val="1372961595"/>
          <w:citation/>
        </w:sdtPr>
        <w:sdtEndPr>
          <w:rPr>
            <w:i w:val="0"/>
            <w:iCs w:val="0"/>
          </w:rPr>
        </w:sdtEndPr>
        <w:sdtContent>
          <w:r w:rsidR="00A1343B">
            <w:rPr>
              <w:bCs/>
            </w:rPr>
            <w:fldChar w:fldCharType="begin"/>
          </w:r>
          <w:r w:rsidR="00A1343B">
            <w:rPr>
              <w:bCs/>
            </w:rPr>
            <w:instrText xml:space="preserve"> CITATION Sal23 \l 2057 </w:instrText>
          </w:r>
          <w:r w:rsidR="00A1343B">
            <w:rPr>
              <w:bCs/>
            </w:rPr>
            <w:fldChar w:fldCharType="separate"/>
          </w:r>
          <w:r w:rsidR="00094ACC">
            <w:rPr>
              <w:noProof/>
            </w:rPr>
            <w:t>(SSAB, 2023)</w:t>
          </w:r>
          <w:r w:rsidR="00A1343B">
            <w:rPr>
              <w:bCs/>
            </w:rPr>
            <w:fldChar w:fldCharType="end"/>
          </w:r>
        </w:sdtContent>
      </w:sdt>
    </w:p>
    <w:p w14:paraId="3B16AE8D" w14:textId="77777777" w:rsidR="00E31F9B" w:rsidRDefault="00E31F9B" w:rsidP="00CF4C5E">
      <w:pPr>
        <w:rPr>
          <w:bCs/>
        </w:rPr>
      </w:pPr>
    </w:p>
    <w:p w14:paraId="6BB1D00A" w14:textId="44F08F96" w:rsidR="005A17BE" w:rsidRDefault="00F2336C" w:rsidP="00CF4C5E">
      <w:pPr>
        <w:rPr>
          <w:bCs/>
        </w:rPr>
      </w:pPr>
      <w:r>
        <w:rPr>
          <w:bCs/>
        </w:rPr>
        <w:t xml:space="preserve">In the case of </w:t>
      </w:r>
      <w:r w:rsidR="00563C51">
        <w:rPr>
          <w:bCs/>
        </w:rPr>
        <w:t>Francis</w:t>
      </w:r>
      <w:r w:rsidR="0091483B">
        <w:rPr>
          <w:bCs/>
        </w:rPr>
        <w:t xml:space="preserve"> agencies </w:t>
      </w:r>
      <w:r w:rsidR="00867A40">
        <w:rPr>
          <w:bCs/>
        </w:rPr>
        <w:t xml:space="preserve">did not sufficiently </w:t>
      </w:r>
      <w:r w:rsidR="0091483B">
        <w:rPr>
          <w:bCs/>
        </w:rPr>
        <w:t xml:space="preserve">explore the reasons for </w:t>
      </w:r>
      <w:r w:rsidR="00563C51">
        <w:rPr>
          <w:bCs/>
        </w:rPr>
        <w:t>Francis’</w:t>
      </w:r>
      <w:r w:rsidR="0091483B">
        <w:rPr>
          <w:bCs/>
        </w:rPr>
        <w:t xml:space="preserve"> disengagement with services</w:t>
      </w:r>
      <w:r w:rsidR="00867A40">
        <w:rPr>
          <w:bCs/>
        </w:rPr>
        <w:t xml:space="preserve"> and poor self-management of his health conditions</w:t>
      </w:r>
      <w:r w:rsidR="007D6B6E">
        <w:rPr>
          <w:bCs/>
        </w:rPr>
        <w:t>. A</w:t>
      </w:r>
      <w:r w:rsidR="003C0B07">
        <w:rPr>
          <w:bCs/>
        </w:rPr>
        <w:t xml:space="preserve">ssessment and interventions </w:t>
      </w:r>
      <w:r w:rsidR="007D6B6E">
        <w:rPr>
          <w:bCs/>
        </w:rPr>
        <w:t>were mostly</w:t>
      </w:r>
      <w:r w:rsidR="003C0B07">
        <w:rPr>
          <w:bCs/>
        </w:rPr>
        <w:t xml:space="preserve"> single-agency</w:t>
      </w:r>
      <w:r w:rsidR="007D6B6E">
        <w:rPr>
          <w:bCs/>
        </w:rPr>
        <w:t xml:space="preserve"> or single-issue and were </w:t>
      </w:r>
      <w:r w:rsidR="001802D1">
        <w:rPr>
          <w:bCs/>
        </w:rPr>
        <w:t>reactive</w:t>
      </w:r>
      <w:r w:rsidR="00486AF2">
        <w:rPr>
          <w:bCs/>
        </w:rPr>
        <w:t xml:space="preserve">, </w:t>
      </w:r>
      <w:r w:rsidR="001802D1">
        <w:rPr>
          <w:bCs/>
        </w:rPr>
        <w:t>focus</w:t>
      </w:r>
      <w:r w:rsidR="00486AF2">
        <w:rPr>
          <w:bCs/>
        </w:rPr>
        <w:t>ing</w:t>
      </w:r>
      <w:r w:rsidR="001802D1">
        <w:rPr>
          <w:bCs/>
        </w:rPr>
        <w:t xml:space="preserve"> on presenting problems</w:t>
      </w:r>
      <w:r w:rsidR="00474153">
        <w:rPr>
          <w:bCs/>
        </w:rPr>
        <w:t xml:space="preserve">, such as the supply of his utilities and </w:t>
      </w:r>
      <w:r w:rsidR="004A4420">
        <w:rPr>
          <w:bCs/>
        </w:rPr>
        <w:t>door locks, poor nutrition, or medication compliance</w:t>
      </w:r>
      <w:r w:rsidR="001802D1">
        <w:rPr>
          <w:bCs/>
        </w:rPr>
        <w:t>.</w:t>
      </w:r>
      <w:r w:rsidR="003B49C6">
        <w:rPr>
          <w:bCs/>
        </w:rPr>
        <w:t xml:space="preserve"> </w:t>
      </w:r>
    </w:p>
    <w:p w14:paraId="192A1114" w14:textId="77777777" w:rsidR="005A17BE" w:rsidRPr="000B422B" w:rsidRDefault="005A17BE" w:rsidP="00CF4C5E">
      <w:pPr>
        <w:rPr>
          <w:bCs/>
        </w:rPr>
      </w:pPr>
    </w:p>
    <w:p w14:paraId="19AB1A28" w14:textId="273BA8E0" w:rsidR="00633C75" w:rsidRPr="00757A0F" w:rsidRDefault="00757A0F" w:rsidP="00CF4C5E">
      <w:pPr>
        <w:rPr>
          <w:bCs/>
          <w:i/>
          <w:iCs/>
        </w:rPr>
      </w:pPr>
      <w:r>
        <w:rPr>
          <w:bCs/>
          <w:i/>
          <w:iCs/>
        </w:rPr>
        <w:t>Environmental self-neglect</w:t>
      </w:r>
    </w:p>
    <w:p w14:paraId="2502E51B" w14:textId="0E855A20" w:rsidR="00F957CD" w:rsidRDefault="00563C51" w:rsidP="00CF4C5E">
      <w:pPr>
        <w:rPr>
          <w:bCs/>
        </w:rPr>
      </w:pPr>
      <w:r>
        <w:rPr>
          <w:bCs/>
        </w:rPr>
        <w:t>Francis’</w:t>
      </w:r>
      <w:r w:rsidR="002A2D80">
        <w:rPr>
          <w:bCs/>
        </w:rPr>
        <w:t xml:space="preserve"> neglect of his home environment </w:t>
      </w:r>
      <w:r w:rsidR="0089301E">
        <w:rPr>
          <w:bCs/>
        </w:rPr>
        <w:t>was</w:t>
      </w:r>
      <w:r w:rsidR="002A2D80">
        <w:rPr>
          <w:bCs/>
        </w:rPr>
        <w:t xml:space="preserve"> responded to through care management and housing interventions. </w:t>
      </w:r>
      <w:r w:rsidR="001072C7">
        <w:rPr>
          <w:bCs/>
        </w:rPr>
        <w:t xml:space="preserve">Professional responses were practical </w:t>
      </w:r>
      <w:r w:rsidR="00475DC5">
        <w:rPr>
          <w:bCs/>
        </w:rPr>
        <w:t>and pragmatic</w:t>
      </w:r>
      <w:r w:rsidR="004008DD">
        <w:rPr>
          <w:bCs/>
        </w:rPr>
        <w:t xml:space="preserve">. Joint visits by Adult Social Care and the Housing Association resulted in offers of </w:t>
      </w:r>
      <w:r w:rsidR="00EB0580">
        <w:rPr>
          <w:bCs/>
        </w:rPr>
        <w:t>care</w:t>
      </w:r>
      <w:r w:rsidR="004008DD">
        <w:rPr>
          <w:bCs/>
        </w:rPr>
        <w:t xml:space="preserve">, </w:t>
      </w:r>
      <w:r w:rsidR="00F75763">
        <w:rPr>
          <w:bCs/>
        </w:rPr>
        <w:t>works on the property, repair</w:t>
      </w:r>
      <w:r w:rsidR="0091451A">
        <w:rPr>
          <w:bCs/>
        </w:rPr>
        <w:t>,</w:t>
      </w:r>
      <w:r w:rsidR="00F75763">
        <w:rPr>
          <w:bCs/>
        </w:rPr>
        <w:t xml:space="preserve"> and maintenance.</w:t>
      </w:r>
      <w:r w:rsidR="0019741C">
        <w:rPr>
          <w:bCs/>
        </w:rPr>
        <w:t xml:space="preserve"> Further practical support was offered but declined.</w:t>
      </w:r>
      <w:r w:rsidR="00A569F2">
        <w:rPr>
          <w:bCs/>
        </w:rPr>
        <w:t xml:space="preserve"> </w:t>
      </w:r>
      <w:r w:rsidR="00182C90">
        <w:rPr>
          <w:bCs/>
        </w:rPr>
        <w:t xml:space="preserve">Professional responses to concerns about </w:t>
      </w:r>
      <w:r>
        <w:rPr>
          <w:bCs/>
        </w:rPr>
        <w:t>Francis’</w:t>
      </w:r>
      <w:r w:rsidR="00182C90">
        <w:rPr>
          <w:bCs/>
        </w:rPr>
        <w:t xml:space="preserve"> home environment were addressed through </w:t>
      </w:r>
      <w:r w:rsidR="00804972">
        <w:rPr>
          <w:bCs/>
        </w:rPr>
        <w:t xml:space="preserve">Adult Social Care and Housing </w:t>
      </w:r>
      <w:r w:rsidR="00182C90">
        <w:rPr>
          <w:bCs/>
        </w:rPr>
        <w:t>care management processes</w:t>
      </w:r>
      <w:r w:rsidR="007F796C">
        <w:rPr>
          <w:bCs/>
        </w:rPr>
        <w:t xml:space="preserve"> rather than safeguarding and the terminology of ‘self-neglect’</w:t>
      </w:r>
      <w:r w:rsidR="00804972">
        <w:rPr>
          <w:bCs/>
        </w:rPr>
        <w:t xml:space="preserve"> was rarely used in this context.</w:t>
      </w:r>
    </w:p>
    <w:p w14:paraId="0A66F464" w14:textId="614C2898" w:rsidR="00633C75" w:rsidRPr="00475DC5" w:rsidRDefault="00475DC5" w:rsidP="00CF4C5E">
      <w:pPr>
        <w:rPr>
          <w:bCs/>
          <w:i/>
          <w:iCs/>
        </w:rPr>
      </w:pPr>
      <w:r>
        <w:rPr>
          <w:bCs/>
          <w:i/>
          <w:iCs/>
        </w:rPr>
        <w:t>Medical self-neglect</w:t>
      </w:r>
    </w:p>
    <w:p w14:paraId="46148055" w14:textId="1FA20493" w:rsidR="009970FA" w:rsidRDefault="009D5592" w:rsidP="009970FA">
      <w:pPr>
        <w:rPr>
          <w:bCs/>
        </w:rPr>
      </w:pPr>
      <w:r>
        <w:rPr>
          <w:bCs/>
        </w:rPr>
        <w:t xml:space="preserve">Concerns about </w:t>
      </w:r>
      <w:r w:rsidR="00563C51">
        <w:rPr>
          <w:bCs/>
        </w:rPr>
        <w:t>Francis’</w:t>
      </w:r>
      <w:r>
        <w:rPr>
          <w:bCs/>
        </w:rPr>
        <w:t xml:space="preserve"> medication compliance, harmful use of alcohol, recurrent seizures and</w:t>
      </w:r>
      <w:r w:rsidR="00080D6A">
        <w:rPr>
          <w:bCs/>
        </w:rPr>
        <w:t xml:space="preserve"> the impact on his</w:t>
      </w:r>
      <w:r>
        <w:rPr>
          <w:bCs/>
        </w:rPr>
        <w:t xml:space="preserve"> physical health dominated </w:t>
      </w:r>
      <w:r w:rsidR="00E264FE">
        <w:rPr>
          <w:bCs/>
        </w:rPr>
        <w:t>health services interventions</w:t>
      </w:r>
      <w:r w:rsidR="00364989">
        <w:rPr>
          <w:bCs/>
        </w:rPr>
        <w:t xml:space="preserve">. </w:t>
      </w:r>
      <w:r w:rsidR="00563C51">
        <w:rPr>
          <w:bCs/>
        </w:rPr>
        <w:t>Francis</w:t>
      </w:r>
      <w:r w:rsidR="00364989">
        <w:rPr>
          <w:bCs/>
        </w:rPr>
        <w:t xml:space="preserve"> received </w:t>
      </w:r>
      <w:r w:rsidR="00E7789D">
        <w:rPr>
          <w:bCs/>
        </w:rPr>
        <w:t xml:space="preserve">input from </w:t>
      </w:r>
      <w:r w:rsidR="005F53FF">
        <w:rPr>
          <w:bCs/>
        </w:rPr>
        <w:t xml:space="preserve">a range of </w:t>
      </w:r>
      <w:r w:rsidR="00E7789D">
        <w:rPr>
          <w:bCs/>
        </w:rPr>
        <w:t xml:space="preserve">health services including the GP practice, drug and alcohol </w:t>
      </w:r>
      <w:r w:rsidR="008569BA">
        <w:rPr>
          <w:bCs/>
        </w:rPr>
        <w:t xml:space="preserve">recovery </w:t>
      </w:r>
      <w:r w:rsidR="00E7789D">
        <w:rPr>
          <w:bCs/>
        </w:rPr>
        <w:t>services</w:t>
      </w:r>
      <w:r w:rsidR="008569BA">
        <w:rPr>
          <w:bCs/>
        </w:rPr>
        <w:t xml:space="preserve">, the hospital trust, and ambulance services. </w:t>
      </w:r>
      <w:r w:rsidR="00080D6A">
        <w:rPr>
          <w:bCs/>
        </w:rPr>
        <w:t>Physical h</w:t>
      </w:r>
      <w:r w:rsidR="00B241AA">
        <w:rPr>
          <w:bCs/>
        </w:rPr>
        <w:t>ealth services</w:t>
      </w:r>
      <w:r w:rsidR="005F53FF">
        <w:rPr>
          <w:bCs/>
        </w:rPr>
        <w:t xml:space="preserve"> generally</w:t>
      </w:r>
      <w:r w:rsidR="00B241AA">
        <w:rPr>
          <w:bCs/>
        </w:rPr>
        <w:t xml:space="preserve"> demonstrated a flexible and </w:t>
      </w:r>
      <w:r w:rsidR="00765C29">
        <w:rPr>
          <w:bCs/>
        </w:rPr>
        <w:t>engaging</w:t>
      </w:r>
      <w:r w:rsidR="00B241AA">
        <w:rPr>
          <w:bCs/>
        </w:rPr>
        <w:t xml:space="preserve"> approach to care</w:t>
      </w:r>
      <w:r w:rsidR="00466362">
        <w:rPr>
          <w:bCs/>
        </w:rPr>
        <w:t xml:space="preserve"> with frequent offers of </w:t>
      </w:r>
      <w:r w:rsidR="00271FBF">
        <w:rPr>
          <w:bCs/>
        </w:rPr>
        <w:t>support</w:t>
      </w:r>
      <w:r w:rsidR="00466362">
        <w:rPr>
          <w:bCs/>
        </w:rPr>
        <w:t xml:space="preserve"> </w:t>
      </w:r>
      <w:r w:rsidR="00DE7481">
        <w:rPr>
          <w:bCs/>
        </w:rPr>
        <w:t>however,</w:t>
      </w:r>
      <w:r w:rsidR="00080D6A">
        <w:rPr>
          <w:bCs/>
        </w:rPr>
        <w:t xml:space="preserve"> this</w:t>
      </w:r>
      <w:r w:rsidR="00466362">
        <w:rPr>
          <w:bCs/>
        </w:rPr>
        <w:t xml:space="preserve"> help was often declined by </w:t>
      </w:r>
      <w:r w:rsidR="00563C51">
        <w:rPr>
          <w:bCs/>
        </w:rPr>
        <w:t>Francis</w:t>
      </w:r>
      <w:r w:rsidR="00466362">
        <w:rPr>
          <w:bCs/>
        </w:rPr>
        <w:t>.</w:t>
      </w:r>
      <w:r w:rsidR="00271FBF">
        <w:rPr>
          <w:bCs/>
        </w:rPr>
        <w:t xml:space="preserve"> </w:t>
      </w:r>
      <w:r w:rsidR="00AD303F">
        <w:rPr>
          <w:bCs/>
        </w:rPr>
        <w:t xml:space="preserve">Evidence from practitioners after </w:t>
      </w:r>
      <w:r w:rsidR="00563C51">
        <w:rPr>
          <w:bCs/>
        </w:rPr>
        <w:t>Francis’</w:t>
      </w:r>
      <w:r w:rsidR="00AD303F">
        <w:rPr>
          <w:bCs/>
        </w:rPr>
        <w:t xml:space="preserve"> death and in the </w:t>
      </w:r>
      <w:r w:rsidR="002D29CC">
        <w:rPr>
          <w:bCs/>
        </w:rPr>
        <w:t>reflective session</w:t>
      </w:r>
      <w:r w:rsidR="00580F98">
        <w:rPr>
          <w:bCs/>
        </w:rPr>
        <w:t>,</w:t>
      </w:r>
      <w:r w:rsidR="00AD303F">
        <w:rPr>
          <w:bCs/>
        </w:rPr>
        <w:t xml:space="preserve"> is that the </w:t>
      </w:r>
      <w:r w:rsidR="003624E3">
        <w:rPr>
          <w:bCs/>
        </w:rPr>
        <w:t xml:space="preserve">Adult Social Care safeguarding </w:t>
      </w:r>
      <w:r w:rsidR="00C33547">
        <w:rPr>
          <w:bCs/>
        </w:rPr>
        <w:t xml:space="preserve">response was complicated by risk to female workers, </w:t>
      </w:r>
      <w:r w:rsidR="00153774">
        <w:rPr>
          <w:bCs/>
        </w:rPr>
        <w:t xml:space="preserve">and </w:t>
      </w:r>
      <w:r w:rsidR="00580F98">
        <w:rPr>
          <w:bCs/>
        </w:rPr>
        <w:t>a general lack of provision for people with chronic</w:t>
      </w:r>
      <w:r w:rsidR="00B503FE">
        <w:rPr>
          <w:bCs/>
        </w:rPr>
        <w:t xml:space="preserve"> substance misuse problems who are not engaging in treatment</w:t>
      </w:r>
      <w:r w:rsidR="003D0A1C">
        <w:rPr>
          <w:bCs/>
        </w:rPr>
        <w:t>. Safeguarding concerns</w:t>
      </w:r>
      <w:r w:rsidR="0074588F">
        <w:rPr>
          <w:bCs/>
        </w:rPr>
        <w:t xml:space="preserve"> were raised</w:t>
      </w:r>
      <w:r w:rsidR="003D0A1C">
        <w:rPr>
          <w:bCs/>
        </w:rPr>
        <w:t xml:space="preserve"> with Adult Social Care concerning medical self-neglect and </w:t>
      </w:r>
      <w:r w:rsidR="003624E3">
        <w:rPr>
          <w:bCs/>
        </w:rPr>
        <w:t xml:space="preserve">health </w:t>
      </w:r>
      <w:r w:rsidR="003D0A1C">
        <w:rPr>
          <w:bCs/>
        </w:rPr>
        <w:t xml:space="preserve">risks, however </w:t>
      </w:r>
      <w:r w:rsidR="00563C51">
        <w:rPr>
          <w:bCs/>
        </w:rPr>
        <w:t>Francis’</w:t>
      </w:r>
      <w:r w:rsidR="003D0A1C">
        <w:rPr>
          <w:bCs/>
        </w:rPr>
        <w:t xml:space="preserve"> case was not taken into safeguarding</w:t>
      </w:r>
      <w:r w:rsidR="003624E3">
        <w:rPr>
          <w:bCs/>
        </w:rPr>
        <w:t xml:space="preserve">, rather </w:t>
      </w:r>
      <w:r w:rsidR="003D0A1C">
        <w:rPr>
          <w:bCs/>
        </w:rPr>
        <w:t xml:space="preserve">was held within a duty system in </w:t>
      </w:r>
      <w:r w:rsidR="00890C52">
        <w:rPr>
          <w:bCs/>
        </w:rPr>
        <w:t>Adult Social Care</w:t>
      </w:r>
      <w:r w:rsidR="00B503FE">
        <w:rPr>
          <w:bCs/>
        </w:rPr>
        <w:t>.</w:t>
      </w:r>
    </w:p>
    <w:p w14:paraId="5C3E2BC0" w14:textId="77777777" w:rsidR="007354B8" w:rsidRDefault="007354B8" w:rsidP="00CF4C5E">
      <w:pPr>
        <w:rPr>
          <w:bCs/>
        </w:rPr>
      </w:pPr>
    </w:p>
    <w:p w14:paraId="106218E7" w14:textId="77777777" w:rsidR="007354B8" w:rsidRDefault="007354B8" w:rsidP="007354B8">
      <w:pPr>
        <w:pStyle w:val="Findingtext"/>
      </w:pPr>
    </w:p>
    <w:p w14:paraId="39532806" w14:textId="534C6187" w:rsidR="00F22205" w:rsidRPr="00F22205" w:rsidRDefault="007354B8" w:rsidP="00F22205">
      <w:pPr>
        <w:pStyle w:val="FindingTitle"/>
      </w:pPr>
      <w:bookmarkStart w:id="22" w:name="_Toc165109319"/>
      <w:r>
        <w:t>Finding 1:</w:t>
      </w:r>
      <w:r w:rsidR="00271FBF">
        <w:t xml:space="preserve">  </w:t>
      </w:r>
      <w:r w:rsidR="00C92B22">
        <w:t>Self-neglec</w:t>
      </w:r>
      <w:r w:rsidR="00C55AA4">
        <w:t xml:space="preserve">t: </w:t>
      </w:r>
      <w:r w:rsidR="00512650">
        <w:t xml:space="preserve">exploring </w:t>
      </w:r>
      <w:r w:rsidR="00C15439">
        <w:t>underlying causes</w:t>
      </w:r>
      <w:bookmarkEnd w:id="22"/>
    </w:p>
    <w:p w14:paraId="08814356" w14:textId="77777777" w:rsidR="007354B8" w:rsidRDefault="007354B8" w:rsidP="007354B8">
      <w:pPr>
        <w:pStyle w:val="Findingtext"/>
      </w:pPr>
    </w:p>
    <w:p w14:paraId="62109597" w14:textId="0CEDDF7F" w:rsidR="007354B8" w:rsidRPr="007354B8" w:rsidRDefault="007354B8" w:rsidP="007354B8">
      <w:pPr>
        <w:pStyle w:val="Findingtext"/>
        <w:rPr>
          <w:b/>
          <w:bCs/>
        </w:rPr>
      </w:pPr>
      <w:r w:rsidRPr="007354B8">
        <w:rPr>
          <w:b/>
          <w:bCs/>
        </w:rPr>
        <w:t>Underlying issue</w:t>
      </w:r>
      <w:r w:rsidR="00D838D5">
        <w:rPr>
          <w:b/>
          <w:bCs/>
        </w:rPr>
        <w:t xml:space="preserve"> in the case</w:t>
      </w:r>
    </w:p>
    <w:p w14:paraId="5907F517" w14:textId="11E3ED9F" w:rsidR="003D1168" w:rsidRDefault="001F530C" w:rsidP="003D1168">
      <w:pPr>
        <w:pStyle w:val="Findingtext"/>
      </w:pPr>
      <w:r>
        <w:rPr>
          <w:bCs/>
        </w:rPr>
        <w:t xml:space="preserve">Assessment and interventions were single-agency or single-issue and were predominantly focused on presenting problems. Services considered immediate risks but did not explore underlying reasons for </w:t>
      </w:r>
      <w:r w:rsidR="00563C51">
        <w:rPr>
          <w:bCs/>
        </w:rPr>
        <w:t>Francis’</w:t>
      </w:r>
      <w:r>
        <w:rPr>
          <w:bCs/>
        </w:rPr>
        <w:t xml:space="preserve"> self-neglect. </w:t>
      </w:r>
      <w:r w:rsidR="003D1168" w:rsidRPr="003D1168">
        <w:t>By</w:t>
      </w:r>
      <w:r w:rsidR="00970038">
        <w:t xml:space="preserve"> working in isolation and</w:t>
      </w:r>
      <w:r w:rsidR="003D1168" w:rsidRPr="003D1168">
        <w:t xml:space="preserve"> focusing only on the presenting issues</w:t>
      </w:r>
      <w:r w:rsidR="00970038">
        <w:t>,</w:t>
      </w:r>
      <w:r w:rsidR="003D1168" w:rsidRPr="003D1168">
        <w:t xml:space="preserve"> practical interventions offered </w:t>
      </w:r>
      <w:r w:rsidR="00563C51">
        <w:t>Francis</w:t>
      </w:r>
      <w:r w:rsidR="003D1168" w:rsidRPr="003D1168">
        <w:t xml:space="preserve"> some short-term benefit but failed to address the underlying reasons behind </w:t>
      </w:r>
      <w:r w:rsidR="00970038">
        <w:t>hi</w:t>
      </w:r>
      <w:r w:rsidR="003D1168" w:rsidRPr="003D1168">
        <w:t>s self-neglect</w:t>
      </w:r>
      <w:r w:rsidR="003D1168">
        <w:t>.</w:t>
      </w:r>
    </w:p>
    <w:p w14:paraId="3556DEEF" w14:textId="77777777" w:rsidR="007354B8" w:rsidRDefault="007354B8" w:rsidP="007354B8">
      <w:pPr>
        <w:pStyle w:val="Findingtext"/>
      </w:pPr>
    </w:p>
    <w:p w14:paraId="59754393" w14:textId="6A2AEB29" w:rsidR="007354B8" w:rsidRPr="007354B8" w:rsidRDefault="00512650" w:rsidP="007354B8">
      <w:pPr>
        <w:pStyle w:val="Findingtext"/>
        <w:rPr>
          <w:b/>
          <w:bCs/>
        </w:rPr>
      </w:pPr>
      <w:r>
        <w:rPr>
          <w:b/>
          <w:bCs/>
        </w:rPr>
        <w:t>Rationale for change</w:t>
      </w:r>
    </w:p>
    <w:p w14:paraId="580DEBA2" w14:textId="71BB6832" w:rsidR="007354B8" w:rsidRDefault="00A76658" w:rsidP="007354B8">
      <w:pPr>
        <w:pStyle w:val="Findingtext"/>
      </w:pPr>
      <w:proofErr w:type="spellStart"/>
      <w:r>
        <w:t>SSAB</w:t>
      </w:r>
      <w:proofErr w:type="spellEnd"/>
      <w:r>
        <w:t xml:space="preserve"> </w:t>
      </w:r>
      <w:r w:rsidR="006A5FAA">
        <w:t xml:space="preserve">Guidance </w:t>
      </w:r>
      <w:r w:rsidR="00637737">
        <w:t xml:space="preserve">encourages </w:t>
      </w:r>
      <w:r w:rsidR="00532B17">
        <w:t xml:space="preserve">services </w:t>
      </w:r>
      <w:r w:rsidR="00DF55FE">
        <w:t>to explore the underlying reasons behind an individual’s self-neglect behaviours</w:t>
      </w:r>
      <w:r w:rsidR="005E0DED">
        <w:t xml:space="preserve">. This </w:t>
      </w:r>
      <w:r w:rsidR="00637737">
        <w:t>engage</w:t>
      </w:r>
      <w:r w:rsidR="00377D6F">
        <w:t>s</w:t>
      </w:r>
      <w:r w:rsidR="00637737">
        <w:t xml:space="preserve"> </w:t>
      </w:r>
      <w:r w:rsidR="00DF55FE">
        <w:t>a more person-centred longer-term approach that seeks to address the causes of self-neglect</w:t>
      </w:r>
      <w:r w:rsidR="00CD35E8">
        <w:t xml:space="preserve"> not just the symptoms</w:t>
      </w:r>
      <w:r w:rsidR="00BC73DB">
        <w:t>.</w:t>
      </w:r>
    </w:p>
    <w:p w14:paraId="39494101" w14:textId="77777777" w:rsidR="007354B8" w:rsidRDefault="007354B8" w:rsidP="007354B8">
      <w:pPr>
        <w:pStyle w:val="Findingtext"/>
      </w:pPr>
    </w:p>
    <w:p w14:paraId="6CD873D8" w14:textId="3D992A1E" w:rsidR="007354B8" w:rsidRDefault="00BC7E94" w:rsidP="007354B8">
      <w:pPr>
        <w:pStyle w:val="Findingtext"/>
        <w:rPr>
          <w:b/>
          <w:bCs/>
        </w:rPr>
      </w:pPr>
      <w:r>
        <w:rPr>
          <w:b/>
          <w:bCs/>
        </w:rPr>
        <w:t>Questions for the Safeguarding Adults board</w:t>
      </w:r>
    </w:p>
    <w:p w14:paraId="0970C368" w14:textId="622A45F1" w:rsidR="00F75AB7" w:rsidRDefault="0058546D" w:rsidP="00F75AB7">
      <w:pPr>
        <w:pStyle w:val="Findingtext"/>
        <w:ind w:left="1701" w:hanging="1701"/>
      </w:pPr>
      <w:r w:rsidRPr="000C0861">
        <w:rPr>
          <w:b/>
          <w:bCs/>
        </w:rPr>
        <w:t xml:space="preserve">Finding 1, </w:t>
      </w:r>
      <w:proofErr w:type="spellStart"/>
      <w:r w:rsidRPr="000C0861">
        <w:rPr>
          <w:b/>
          <w:bCs/>
        </w:rPr>
        <w:t>Q1</w:t>
      </w:r>
      <w:proofErr w:type="spellEnd"/>
      <w:r w:rsidRPr="000C0861">
        <w:rPr>
          <w:b/>
          <w:bCs/>
        </w:rPr>
        <w:t>:</w:t>
      </w:r>
      <w:r w:rsidR="00F75AB7">
        <w:rPr>
          <w:b/>
          <w:bCs/>
        </w:rPr>
        <w:tab/>
      </w:r>
      <w:r w:rsidR="00D63237" w:rsidRPr="00BA4BEA">
        <w:t xml:space="preserve">How can the Safeguarding Adults Board raise awareness </w:t>
      </w:r>
      <w:r w:rsidR="009E550D" w:rsidRPr="00BA4BEA">
        <w:t xml:space="preserve">and use </w:t>
      </w:r>
      <w:r w:rsidR="00D63237" w:rsidRPr="00BA4BEA">
        <w:t>of the self-neglect guidance</w:t>
      </w:r>
      <w:r w:rsidR="00A829C2" w:rsidRPr="00BA4BEA">
        <w:t>?</w:t>
      </w:r>
    </w:p>
    <w:p w14:paraId="75AF5A89" w14:textId="1C294A6C" w:rsidR="00A829C2" w:rsidRDefault="00F75AB7" w:rsidP="000C0861">
      <w:pPr>
        <w:pStyle w:val="Findingtext"/>
        <w:ind w:left="1701" w:hanging="1701"/>
      </w:pPr>
      <w:r>
        <w:rPr>
          <w:b/>
          <w:bCs/>
        </w:rPr>
        <w:t xml:space="preserve">Finding 1, </w:t>
      </w:r>
      <w:proofErr w:type="spellStart"/>
      <w:r>
        <w:rPr>
          <w:b/>
          <w:bCs/>
        </w:rPr>
        <w:t>Q2</w:t>
      </w:r>
      <w:proofErr w:type="spellEnd"/>
      <w:r>
        <w:rPr>
          <w:b/>
          <w:bCs/>
        </w:rPr>
        <w:t>:</w:t>
      </w:r>
      <w:r>
        <w:tab/>
      </w:r>
      <w:r w:rsidR="00A829C2">
        <w:t>How can the system support practitioners</w:t>
      </w:r>
      <w:r w:rsidR="00A74F31">
        <w:t>, especially during safeguarding processes,</w:t>
      </w:r>
      <w:r w:rsidR="00A829C2">
        <w:t xml:space="preserve"> to explore the underlying </w:t>
      </w:r>
      <w:r w:rsidR="008C3D9A">
        <w:t>reasons behind an individual’s disengagement from services and self-neglect behaviours?</w:t>
      </w:r>
    </w:p>
    <w:p w14:paraId="6B3BAE46" w14:textId="77777777" w:rsidR="007354B8" w:rsidRDefault="007354B8" w:rsidP="007354B8">
      <w:pPr>
        <w:pStyle w:val="Findingtext"/>
      </w:pPr>
    </w:p>
    <w:p w14:paraId="0FE3D5D7" w14:textId="1FBDF8D2" w:rsidR="008C3D9A" w:rsidRPr="000C0861" w:rsidRDefault="008E4DF1" w:rsidP="007354B8">
      <w:pPr>
        <w:pStyle w:val="Findingtext"/>
        <w:rPr>
          <w:b/>
          <w:bCs/>
        </w:rPr>
      </w:pPr>
      <w:r w:rsidRPr="000C0861">
        <w:rPr>
          <w:b/>
          <w:bCs/>
        </w:rPr>
        <w:t>Impact and measurement</w:t>
      </w:r>
    </w:p>
    <w:p w14:paraId="3EBE476A" w14:textId="12A9C0F5" w:rsidR="000E5693" w:rsidRPr="00C22F64" w:rsidRDefault="00546782" w:rsidP="007354B8">
      <w:pPr>
        <w:pStyle w:val="Findingtext"/>
      </w:pPr>
      <w:r>
        <w:t>Th</w:t>
      </w:r>
      <w:r w:rsidR="002762F6">
        <w:t>is</w:t>
      </w:r>
      <w:r>
        <w:t xml:space="preserve"> </w:t>
      </w:r>
      <w:r w:rsidR="002762F6">
        <w:t>finding</w:t>
      </w:r>
      <w:r>
        <w:t xml:space="preserve"> is intended to encourage the use of the guidance, in particular the practice of exploring underlying causes of self-neglect. A</w:t>
      </w:r>
      <w:r w:rsidR="00F50EC0">
        <w:t>fter actions have been completed, a</w:t>
      </w:r>
      <w:r>
        <w:t xml:space="preserve"> cost-effective way of measuring impact would be </w:t>
      </w:r>
      <w:r w:rsidR="00AA57E1">
        <w:t xml:space="preserve">to ask </w:t>
      </w:r>
      <w:r w:rsidR="0072303B">
        <w:t xml:space="preserve">a random sample of </w:t>
      </w:r>
      <w:r w:rsidR="00AA57E1">
        <w:t xml:space="preserve">practitioners </w:t>
      </w:r>
      <w:r w:rsidR="00AB7A5F">
        <w:t xml:space="preserve">to complete an online survey </w:t>
      </w:r>
      <w:r w:rsidR="00CD5F95">
        <w:t xml:space="preserve">about </w:t>
      </w:r>
      <w:r w:rsidR="003D793C">
        <w:t>their awareness of the guidance and practice.</w:t>
      </w:r>
      <w:r w:rsidR="00F356F1">
        <w:t xml:space="preserve"> An alternative or triangulation to a practitioner survey would be to conduct an audit of safeguarding case records for evidence that the guidance has been followed and underlying causes explored.</w:t>
      </w:r>
    </w:p>
    <w:p w14:paraId="372D499A" w14:textId="77777777" w:rsidR="008C3D9A" w:rsidRDefault="008C3D9A" w:rsidP="007354B8">
      <w:pPr>
        <w:pStyle w:val="Findingtext"/>
      </w:pPr>
    </w:p>
    <w:p w14:paraId="04560DBB" w14:textId="77777777" w:rsidR="002E2BE2" w:rsidRDefault="002E2BE2" w:rsidP="00CF4C5E">
      <w:pPr>
        <w:rPr>
          <w:bCs/>
        </w:rPr>
      </w:pPr>
    </w:p>
    <w:p w14:paraId="57BF7EE3" w14:textId="77777777" w:rsidR="0074127F" w:rsidRDefault="0074127F">
      <w:pPr>
        <w:spacing w:after="160" w:line="259" w:lineRule="auto"/>
        <w:rPr>
          <w:rFonts w:eastAsiaTheme="majorEastAsia" w:cstheme="majorBidi"/>
          <w:color w:val="660066"/>
          <w:sz w:val="24"/>
          <w:szCs w:val="26"/>
        </w:rPr>
      </w:pPr>
      <w:r>
        <w:br w:type="page"/>
      </w:r>
    </w:p>
    <w:p w14:paraId="05F37E1D" w14:textId="093BD74E" w:rsidR="002E2BE2" w:rsidRDefault="002E2BE2" w:rsidP="00B82022">
      <w:pPr>
        <w:pStyle w:val="Heading2"/>
        <w:spacing w:after="0"/>
      </w:pPr>
      <w:bookmarkStart w:id="23" w:name="_Toc165109320"/>
      <w:r>
        <w:t>TOR 2: Care and support needs on the context of drug and alcohol use</w:t>
      </w:r>
      <w:bookmarkEnd w:id="23"/>
    </w:p>
    <w:p w14:paraId="6B03C5B5" w14:textId="0BF38C10" w:rsidR="002E2BE2" w:rsidRDefault="005F42DB" w:rsidP="002E2BE2">
      <w:pPr>
        <w:rPr>
          <w:bCs/>
        </w:rPr>
      </w:pPr>
      <w:r>
        <w:rPr>
          <w:bCs/>
          <w:i/>
          <w:iCs/>
        </w:rPr>
        <w:t>How</w:t>
      </w:r>
      <w:r w:rsidR="009307BB">
        <w:rPr>
          <w:bCs/>
          <w:i/>
          <w:iCs/>
        </w:rPr>
        <w:t xml:space="preserve"> </w:t>
      </w:r>
      <w:r>
        <w:rPr>
          <w:bCs/>
          <w:i/>
          <w:iCs/>
        </w:rPr>
        <w:t>/</w:t>
      </w:r>
      <w:r w:rsidR="009307BB">
        <w:rPr>
          <w:bCs/>
          <w:i/>
          <w:iCs/>
        </w:rPr>
        <w:t xml:space="preserve"> </w:t>
      </w:r>
      <w:r>
        <w:rPr>
          <w:bCs/>
          <w:i/>
          <w:iCs/>
        </w:rPr>
        <w:t xml:space="preserve">were </w:t>
      </w:r>
      <w:r w:rsidR="00563C51">
        <w:rPr>
          <w:bCs/>
          <w:i/>
          <w:iCs/>
        </w:rPr>
        <w:t>Francis’</w:t>
      </w:r>
      <w:r>
        <w:rPr>
          <w:bCs/>
          <w:i/>
          <w:iCs/>
        </w:rPr>
        <w:t xml:space="preserve"> </w:t>
      </w:r>
      <w:r w:rsidR="007F3FCD" w:rsidRPr="007F3FCD">
        <w:rPr>
          <w:bCs/>
          <w:i/>
          <w:iCs/>
        </w:rPr>
        <w:t xml:space="preserve">care and support needs </w:t>
      </w:r>
      <w:r>
        <w:rPr>
          <w:bCs/>
          <w:i/>
          <w:iCs/>
        </w:rPr>
        <w:t xml:space="preserve">recognised in </w:t>
      </w:r>
      <w:r w:rsidR="007F3FCD" w:rsidRPr="007F3FCD">
        <w:rPr>
          <w:bCs/>
          <w:i/>
          <w:iCs/>
        </w:rPr>
        <w:t>relati</w:t>
      </w:r>
      <w:r>
        <w:rPr>
          <w:bCs/>
          <w:i/>
          <w:iCs/>
        </w:rPr>
        <w:t>on</w:t>
      </w:r>
      <w:r w:rsidR="007F3FCD" w:rsidRPr="007F3FCD">
        <w:rPr>
          <w:bCs/>
          <w:i/>
          <w:iCs/>
        </w:rPr>
        <w:t xml:space="preserve"> to ‘social support’</w:t>
      </w:r>
    </w:p>
    <w:p w14:paraId="0AC49C94" w14:textId="77777777" w:rsidR="002E2BE2" w:rsidRDefault="002E2BE2" w:rsidP="002E2BE2">
      <w:pPr>
        <w:rPr>
          <w:bCs/>
        </w:rPr>
      </w:pPr>
    </w:p>
    <w:p w14:paraId="33B79BEE" w14:textId="77777777" w:rsidR="002E2BE2" w:rsidRPr="00FE33D8" w:rsidRDefault="002E2BE2" w:rsidP="002E2BE2">
      <w:pPr>
        <w:rPr>
          <w:b/>
        </w:rPr>
      </w:pPr>
      <w:r w:rsidRPr="00FE33D8">
        <w:rPr>
          <w:b/>
        </w:rPr>
        <w:t>Context</w:t>
      </w:r>
    </w:p>
    <w:p w14:paraId="30CAAE7A" w14:textId="77777777" w:rsidR="00FD6924" w:rsidRDefault="00FD6924" w:rsidP="00BF7C5D">
      <w:pPr>
        <w:rPr>
          <w:bCs/>
        </w:rPr>
      </w:pPr>
    </w:p>
    <w:p w14:paraId="0EC7227B" w14:textId="7ADD580A" w:rsidR="00080A64" w:rsidRDefault="00DA7ABC" w:rsidP="00BF7C5D">
      <w:pPr>
        <w:rPr>
          <w:bCs/>
        </w:rPr>
      </w:pPr>
      <w:r w:rsidRPr="00DA7ABC">
        <w:rPr>
          <w:bCs/>
        </w:rPr>
        <w:t xml:space="preserve">Safeguarding </w:t>
      </w:r>
      <w:r w:rsidR="00FE5923">
        <w:rPr>
          <w:bCs/>
        </w:rPr>
        <w:t xml:space="preserve">enquiry </w:t>
      </w:r>
      <w:r w:rsidRPr="00DA7ABC">
        <w:rPr>
          <w:bCs/>
        </w:rPr>
        <w:t xml:space="preserve">duties </w:t>
      </w:r>
      <w:r w:rsidR="00FE5923">
        <w:rPr>
          <w:bCs/>
        </w:rPr>
        <w:t xml:space="preserve">under section 42 (Care Act 2014) </w:t>
      </w:r>
      <w:r w:rsidR="00790FA7">
        <w:rPr>
          <w:bCs/>
        </w:rPr>
        <w:t xml:space="preserve">cover adults with needs for care and support – whether or not those needs are being met. </w:t>
      </w:r>
      <w:r w:rsidR="00BF7C5D" w:rsidRPr="00BF7C5D">
        <w:rPr>
          <w:bCs/>
        </w:rPr>
        <w:t>One of the aims of the Care Act 2014 was to consolidate existing community care law, and to standardise eligibility for adult social care. Eligibility criteria is set out in regulations and includes any needs arising from physical or mental impairment, or illness (</w:t>
      </w:r>
      <w:proofErr w:type="spellStart"/>
      <w:r w:rsidR="00BF7C5D" w:rsidRPr="00BF7C5D">
        <w:rPr>
          <w:bCs/>
        </w:rPr>
        <w:t>s.1</w:t>
      </w:r>
      <w:proofErr w:type="spellEnd"/>
      <w:r w:rsidR="00BF7C5D" w:rsidRPr="00BF7C5D">
        <w:rPr>
          <w:bCs/>
        </w:rPr>
        <w:t xml:space="preserve"> Care and Support (Eligibility Criteria) Regulations 2014). Mental health, and substance misuse and dependence disorders, fall within the eligibility criteria by virtue of mental impairment. The inclusion of dependence on alcohol or drugs is also referred to in section 92 (5) (Care Act 2014). </w:t>
      </w:r>
      <w:r w:rsidR="006D6360">
        <w:rPr>
          <w:bCs/>
        </w:rPr>
        <w:t xml:space="preserve">An adult will usually be considered eligible </w:t>
      </w:r>
      <w:r w:rsidR="00E82C75">
        <w:rPr>
          <w:bCs/>
        </w:rPr>
        <w:t>if as a result of their physical or mental impairment they are unable to achieve two or more of the following:</w:t>
      </w:r>
    </w:p>
    <w:p w14:paraId="5CDBD9D0" w14:textId="55635E77" w:rsidR="0014210C" w:rsidRPr="0014210C" w:rsidRDefault="0014210C" w:rsidP="0014210C">
      <w:pPr>
        <w:pStyle w:val="ListParagraph"/>
        <w:numPr>
          <w:ilvl w:val="0"/>
          <w:numId w:val="19"/>
        </w:numPr>
        <w:rPr>
          <w:bCs/>
        </w:rPr>
      </w:pPr>
      <w:r w:rsidRPr="0014210C">
        <w:rPr>
          <w:bCs/>
        </w:rPr>
        <w:t>Managing and maintaining nutrition</w:t>
      </w:r>
    </w:p>
    <w:p w14:paraId="793FE50A" w14:textId="602BE9AC" w:rsidR="0014210C" w:rsidRPr="0014210C" w:rsidRDefault="0014210C" w:rsidP="0014210C">
      <w:pPr>
        <w:pStyle w:val="ListParagraph"/>
        <w:numPr>
          <w:ilvl w:val="0"/>
          <w:numId w:val="19"/>
        </w:numPr>
        <w:rPr>
          <w:bCs/>
        </w:rPr>
      </w:pPr>
      <w:r w:rsidRPr="0014210C">
        <w:rPr>
          <w:bCs/>
        </w:rPr>
        <w:t>Maintaining personal hygiene</w:t>
      </w:r>
    </w:p>
    <w:p w14:paraId="4397E713" w14:textId="6F244FB4" w:rsidR="0014210C" w:rsidRPr="0014210C" w:rsidRDefault="0014210C" w:rsidP="0014210C">
      <w:pPr>
        <w:pStyle w:val="ListParagraph"/>
        <w:numPr>
          <w:ilvl w:val="0"/>
          <w:numId w:val="19"/>
        </w:numPr>
        <w:rPr>
          <w:bCs/>
        </w:rPr>
      </w:pPr>
      <w:r w:rsidRPr="0014210C">
        <w:rPr>
          <w:bCs/>
        </w:rPr>
        <w:t>Managing toilet needs</w:t>
      </w:r>
    </w:p>
    <w:p w14:paraId="79D07E7D" w14:textId="0B5FFC79" w:rsidR="0014210C" w:rsidRPr="0014210C" w:rsidRDefault="0014210C" w:rsidP="0014210C">
      <w:pPr>
        <w:pStyle w:val="ListParagraph"/>
        <w:numPr>
          <w:ilvl w:val="0"/>
          <w:numId w:val="19"/>
        </w:numPr>
        <w:rPr>
          <w:bCs/>
        </w:rPr>
      </w:pPr>
      <w:r w:rsidRPr="0014210C">
        <w:rPr>
          <w:bCs/>
        </w:rPr>
        <w:t>Being appropriately clothed</w:t>
      </w:r>
    </w:p>
    <w:p w14:paraId="2DC9344A" w14:textId="5B0A56CE" w:rsidR="0014210C" w:rsidRPr="0014210C" w:rsidRDefault="0014210C" w:rsidP="0014210C">
      <w:pPr>
        <w:pStyle w:val="ListParagraph"/>
        <w:numPr>
          <w:ilvl w:val="0"/>
          <w:numId w:val="19"/>
        </w:numPr>
        <w:rPr>
          <w:bCs/>
        </w:rPr>
      </w:pPr>
      <w:r w:rsidRPr="0014210C">
        <w:rPr>
          <w:bCs/>
        </w:rPr>
        <w:t>Maintaining a habitable home environment</w:t>
      </w:r>
    </w:p>
    <w:p w14:paraId="6CE224C9" w14:textId="4943610C" w:rsidR="0014210C" w:rsidRPr="0014210C" w:rsidRDefault="0014210C" w:rsidP="0014210C">
      <w:pPr>
        <w:pStyle w:val="ListParagraph"/>
        <w:numPr>
          <w:ilvl w:val="0"/>
          <w:numId w:val="19"/>
        </w:numPr>
        <w:rPr>
          <w:bCs/>
        </w:rPr>
      </w:pPr>
      <w:r w:rsidRPr="0014210C">
        <w:rPr>
          <w:bCs/>
        </w:rPr>
        <w:t>Being able to make use of the home safely</w:t>
      </w:r>
    </w:p>
    <w:p w14:paraId="7C22A896" w14:textId="310286FD" w:rsidR="0014210C" w:rsidRPr="0014210C" w:rsidRDefault="0014210C" w:rsidP="0014210C">
      <w:pPr>
        <w:pStyle w:val="ListParagraph"/>
        <w:numPr>
          <w:ilvl w:val="0"/>
          <w:numId w:val="19"/>
        </w:numPr>
        <w:rPr>
          <w:bCs/>
        </w:rPr>
      </w:pPr>
      <w:r w:rsidRPr="0014210C">
        <w:rPr>
          <w:bCs/>
        </w:rPr>
        <w:t>Developing and maintaining family or other personal relationships</w:t>
      </w:r>
    </w:p>
    <w:p w14:paraId="62F543A7" w14:textId="76302346" w:rsidR="0014210C" w:rsidRPr="0014210C" w:rsidRDefault="0014210C" w:rsidP="0014210C">
      <w:pPr>
        <w:pStyle w:val="ListParagraph"/>
        <w:numPr>
          <w:ilvl w:val="0"/>
          <w:numId w:val="19"/>
        </w:numPr>
        <w:rPr>
          <w:bCs/>
        </w:rPr>
      </w:pPr>
      <w:r w:rsidRPr="0014210C">
        <w:rPr>
          <w:bCs/>
        </w:rPr>
        <w:t>Accessing and engaging in work, training, education</w:t>
      </w:r>
      <w:r w:rsidR="00F51A55">
        <w:rPr>
          <w:bCs/>
        </w:rPr>
        <w:t>,</w:t>
      </w:r>
      <w:r w:rsidRPr="0014210C">
        <w:rPr>
          <w:bCs/>
        </w:rPr>
        <w:t xml:space="preserve"> or volunteering</w:t>
      </w:r>
    </w:p>
    <w:p w14:paraId="215DB48A" w14:textId="76314E48" w:rsidR="00E82C75" w:rsidRPr="00E82C75" w:rsidRDefault="0014210C" w:rsidP="0014210C">
      <w:pPr>
        <w:pStyle w:val="ListParagraph"/>
        <w:numPr>
          <w:ilvl w:val="0"/>
          <w:numId w:val="19"/>
        </w:numPr>
        <w:rPr>
          <w:bCs/>
        </w:rPr>
      </w:pPr>
      <w:r w:rsidRPr="0014210C">
        <w:rPr>
          <w:bCs/>
        </w:rPr>
        <w:t>Making use of necessary facilities or services in the local community including public transport and recreational facilities or services</w:t>
      </w:r>
    </w:p>
    <w:p w14:paraId="10E20292" w14:textId="77777777" w:rsidR="00080A64" w:rsidRDefault="00080A64" w:rsidP="00BF7C5D">
      <w:pPr>
        <w:rPr>
          <w:bCs/>
        </w:rPr>
      </w:pPr>
    </w:p>
    <w:p w14:paraId="6068DD66" w14:textId="218D0C9D" w:rsidR="007E00CF" w:rsidRDefault="001662D3" w:rsidP="00BF7C5D">
      <w:pPr>
        <w:rPr>
          <w:bCs/>
        </w:rPr>
      </w:pPr>
      <w:r>
        <w:rPr>
          <w:bCs/>
        </w:rPr>
        <w:t xml:space="preserve">Section 18 (Care Act 2014) places duties, under certain circumstances, on </w:t>
      </w:r>
      <w:r w:rsidR="00A31277">
        <w:rPr>
          <w:bCs/>
        </w:rPr>
        <w:t xml:space="preserve">Adult Social Care </w:t>
      </w:r>
      <w:r>
        <w:rPr>
          <w:bCs/>
        </w:rPr>
        <w:t>to meet eligible needs</w:t>
      </w:r>
      <w:r w:rsidR="00F01507">
        <w:rPr>
          <w:bCs/>
        </w:rPr>
        <w:t xml:space="preserve"> through a care and support plan (</w:t>
      </w:r>
      <w:proofErr w:type="spellStart"/>
      <w:r w:rsidR="00F01507">
        <w:rPr>
          <w:bCs/>
        </w:rPr>
        <w:t>s.24</w:t>
      </w:r>
      <w:proofErr w:type="spellEnd"/>
      <w:r w:rsidR="00F01507">
        <w:rPr>
          <w:bCs/>
        </w:rPr>
        <w:t xml:space="preserve"> Care Act 2014) </w:t>
      </w:r>
      <w:r w:rsidR="007E00CF">
        <w:rPr>
          <w:bCs/>
        </w:rPr>
        <w:t>involving a funded package of care or through self-directed support utilising personal budgets or direct payments.</w:t>
      </w:r>
      <w:r w:rsidR="004714E2">
        <w:rPr>
          <w:bCs/>
        </w:rPr>
        <w:t xml:space="preserve"> In many cases packages of care and support will be provided by specialist care agencies who offer care </w:t>
      </w:r>
      <w:r w:rsidR="0099369A">
        <w:rPr>
          <w:bCs/>
        </w:rPr>
        <w:t>in a person’s home in order to maintain as near independent in the community as possible.</w:t>
      </w:r>
    </w:p>
    <w:p w14:paraId="1C42E28C" w14:textId="77777777" w:rsidR="0021454C" w:rsidRDefault="0021454C" w:rsidP="00BF7C5D">
      <w:pPr>
        <w:rPr>
          <w:bCs/>
        </w:rPr>
      </w:pPr>
    </w:p>
    <w:p w14:paraId="3BB5730F" w14:textId="40D36236" w:rsidR="0021454C" w:rsidRDefault="00C83AA3" w:rsidP="00BF7C5D">
      <w:pPr>
        <w:rPr>
          <w:bCs/>
        </w:rPr>
      </w:pPr>
      <w:r>
        <w:rPr>
          <w:bCs/>
        </w:rPr>
        <w:t xml:space="preserve">Care and support needs are also important in the context of safeguarding adults. Duties </w:t>
      </w:r>
      <w:r w:rsidR="00E52BC4">
        <w:rPr>
          <w:bCs/>
        </w:rPr>
        <w:t xml:space="preserve">to cause or make enquiries </w:t>
      </w:r>
      <w:r w:rsidR="00D11C53">
        <w:rPr>
          <w:bCs/>
        </w:rPr>
        <w:t xml:space="preserve">under section 42 (Care Act 2014) </w:t>
      </w:r>
      <w:r w:rsidR="00E52BC4">
        <w:rPr>
          <w:bCs/>
        </w:rPr>
        <w:t xml:space="preserve">exist </w:t>
      </w:r>
      <w:r w:rsidR="00D11C53">
        <w:rPr>
          <w:bCs/>
        </w:rPr>
        <w:t xml:space="preserve">when a </w:t>
      </w:r>
      <w:r w:rsidR="00EB2705">
        <w:rPr>
          <w:bCs/>
        </w:rPr>
        <w:t>person with c</w:t>
      </w:r>
      <w:r w:rsidR="0021454C">
        <w:rPr>
          <w:bCs/>
        </w:rPr>
        <w:t xml:space="preserve">are and support needs </w:t>
      </w:r>
      <w:r w:rsidR="00EB2705">
        <w:rPr>
          <w:bCs/>
        </w:rPr>
        <w:t>(whether they are being met or not)</w:t>
      </w:r>
      <w:r w:rsidR="00001319">
        <w:rPr>
          <w:bCs/>
        </w:rPr>
        <w:t xml:space="preserve">, </w:t>
      </w:r>
      <w:r w:rsidR="00D11C53">
        <w:rPr>
          <w:bCs/>
        </w:rPr>
        <w:t xml:space="preserve">experiences or is at risk of abuse or neglect, and where they are </w:t>
      </w:r>
      <w:r w:rsidR="00001319">
        <w:rPr>
          <w:bCs/>
        </w:rPr>
        <w:t>unable to protect themselves because of those needs</w:t>
      </w:r>
      <w:r w:rsidR="00D11C53">
        <w:rPr>
          <w:bCs/>
        </w:rPr>
        <w:t>.</w:t>
      </w:r>
      <w:r w:rsidR="000D5DB6">
        <w:rPr>
          <w:bCs/>
        </w:rPr>
        <w:t xml:space="preserve"> </w:t>
      </w:r>
      <w:r w:rsidR="00242598">
        <w:rPr>
          <w:bCs/>
        </w:rPr>
        <w:t>Nationally t</w:t>
      </w:r>
      <w:r w:rsidR="000D5DB6">
        <w:rPr>
          <w:bCs/>
        </w:rPr>
        <w:t xml:space="preserve">here is limited data in the public domain on the numbers of people eligible for </w:t>
      </w:r>
      <w:r w:rsidR="006F5C72">
        <w:rPr>
          <w:bCs/>
        </w:rPr>
        <w:t xml:space="preserve">a </w:t>
      </w:r>
      <w:r w:rsidR="000D5DB6">
        <w:rPr>
          <w:bCs/>
        </w:rPr>
        <w:t xml:space="preserve">safeguarding </w:t>
      </w:r>
      <w:r w:rsidR="006F5C72">
        <w:rPr>
          <w:bCs/>
        </w:rPr>
        <w:t xml:space="preserve">enquiry </w:t>
      </w:r>
      <w:r w:rsidR="000D5DB6">
        <w:rPr>
          <w:bCs/>
        </w:rPr>
        <w:t>due to mental impairment</w:t>
      </w:r>
      <w:r w:rsidR="0083114A">
        <w:rPr>
          <w:bCs/>
        </w:rPr>
        <w:t>s</w:t>
      </w:r>
      <w:r w:rsidR="000D5DB6">
        <w:rPr>
          <w:bCs/>
        </w:rPr>
        <w:t xml:space="preserve"> relating to drug or alcohol dependence</w:t>
      </w:r>
      <w:r w:rsidR="001D5F54">
        <w:rPr>
          <w:bCs/>
        </w:rPr>
        <w:t>. This means that at a national level this vulnerable group are effectively hidden from view and reports on safeguarding</w:t>
      </w:r>
      <w:r w:rsidR="000D5DB6">
        <w:rPr>
          <w:bCs/>
        </w:rPr>
        <w:t>.</w:t>
      </w:r>
      <w:r w:rsidR="006F5C72">
        <w:rPr>
          <w:bCs/>
        </w:rPr>
        <w:t xml:space="preserve"> </w:t>
      </w:r>
      <w:r w:rsidR="0021454C">
        <w:rPr>
          <w:bCs/>
        </w:rPr>
        <w:t>In safeguarding data reporting, individuals with drug and alcohol dependence fall within the broader category of social support</w:t>
      </w:r>
      <w:r w:rsidR="006F5C72">
        <w:rPr>
          <w:bCs/>
        </w:rPr>
        <w:t>;</w:t>
      </w:r>
      <w:r w:rsidR="0021454C">
        <w:rPr>
          <w:bCs/>
        </w:rPr>
        <w:t xml:space="preserve"> </w:t>
      </w:r>
      <w:r w:rsidR="006F5C72">
        <w:rPr>
          <w:bCs/>
        </w:rPr>
        <w:t>i</w:t>
      </w:r>
      <w:r w:rsidR="0021454C">
        <w:rPr>
          <w:bCs/>
        </w:rPr>
        <w:t>n 2022-23 in Salford</w:t>
      </w:r>
      <w:r w:rsidR="006F5C72">
        <w:rPr>
          <w:bCs/>
        </w:rPr>
        <w:t>,</w:t>
      </w:r>
      <w:r w:rsidR="0021454C">
        <w:rPr>
          <w:bCs/>
        </w:rPr>
        <w:t xml:space="preserve"> 4.8% of people involved in </w:t>
      </w:r>
      <w:proofErr w:type="spellStart"/>
      <w:r w:rsidR="0021454C">
        <w:rPr>
          <w:bCs/>
        </w:rPr>
        <w:t>s.42</w:t>
      </w:r>
      <w:proofErr w:type="spellEnd"/>
      <w:r w:rsidR="0021454C">
        <w:rPr>
          <w:bCs/>
        </w:rPr>
        <w:t xml:space="preserve"> safeguarding enquiries had a primary support reason of ‘social support’ </w:t>
      </w:r>
      <w:sdt>
        <w:sdtPr>
          <w:rPr>
            <w:bCs/>
          </w:rPr>
          <w:id w:val="1177460889"/>
          <w:citation/>
        </w:sdtPr>
        <w:sdtEndPr/>
        <w:sdtContent>
          <w:r w:rsidR="0021454C">
            <w:rPr>
              <w:bCs/>
            </w:rPr>
            <w:fldChar w:fldCharType="begin"/>
          </w:r>
          <w:r w:rsidR="0021454C">
            <w:rPr>
              <w:bCs/>
            </w:rPr>
            <w:instrText xml:space="preserve"> CITATION NHS21 \l 2057 </w:instrText>
          </w:r>
          <w:r w:rsidR="0021454C">
            <w:rPr>
              <w:bCs/>
            </w:rPr>
            <w:fldChar w:fldCharType="separate"/>
          </w:r>
          <w:r w:rsidR="00094ACC">
            <w:rPr>
              <w:noProof/>
            </w:rPr>
            <w:t>(NHS Digital, 2023)</w:t>
          </w:r>
          <w:r w:rsidR="0021454C">
            <w:rPr>
              <w:bCs/>
            </w:rPr>
            <w:fldChar w:fldCharType="end"/>
          </w:r>
        </w:sdtContent>
      </w:sdt>
      <w:r w:rsidR="0021454C">
        <w:rPr>
          <w:bCs/>
        </w:rPr>
        <w:t>.</w:t>
      </w:r>
      <w:r w:rsidR="00865F4E">
        <w:rPr>
          <w:bCs/>
        </w:rPr>
        <w:t xml:space="preserve"> </w:t>
      </w:r>
      <w:r w:rsidR="00967946">
        <w:rPr>
          <w:bCs/>
        </w:rPr>
        <w:t xml:space="preserve">While the numbers are relatively low compared to other support reasons such as </w:t>
      </w:r>
      <w:r w:rsidR="00DE4AFA">
        <w:rPr>
          <w:bCs/>
        </w:rPr>
        <w:t xml:space="preserve">physical support (33.8%) or mental health support </w:t>
      </w:r>
      <w:r w:rsidR="004F2F7E">
        <w:rPr>
          <w:bCs/>
        </w:rPr>
        <w:t xml:space="preserve">(29%), </w:t>
      </w:r>
      <w:r w:rsidR="00AD59FE">
        <w:rPr>
          <w:bCs/>
        </w:rPr>
        <w:t>this cohort of individuals</w:t>
      </w:r>
      <w:r w:rsidR="003273D4">
        <w:rPr>
          <w:bCs/>
        </w:rPr>
        <w:t xml:space="preserve"> </w:t>
      </w:r>
      <w:r w:rsidR="00E977F6">
        <w:rPr>
          <w:bCs/>
        </w:rPr>
        <w:t xml:space="preserve">can present with a range of vulnerability factors </w:t>
      </w:r>
      <w:r w:rsidR="00DD0875">
        <w:rPr>
          <w:bCs/>
        </w:rPr>
        <w:t>and may be at particular risk of self-neglect, exploitation, and abuse within their informal networks and relationships.</w:t>
      </w:r>
    </w:p>
    <w:p w14:paraId="7589143F" w14:textId="77777777" w:rsidR="00FE5475" w:rsidRDefault="00FE5475" w:rsidP="00BF7C5D">
      <w:pPr>
        <w:rPr>
          <w:bCs/>
        </w:rPr>
      </w:pPr>
    </w:p>
    <w:p w14:paraId="3B2605AA" w14:textId="77777777" w:rsidR="004E5142" w:rsidRDefault="004E5142" w:rsidP="00BF7C5D">
      <w:pPr>
        <w:rPr>
          <w:bCs/>
        </w:rPr>
      </w:pPr>
    </w:p>
    <w:p w14:paraId="7503C744" w14:textId="3FE63DF9" w:rsidR="00AB0364" w:rsidRPr="00AB0364" w:rsidRDefault="00AB0364" w:rsidP="00BF7C5D">
      <w:pPr>
        <w:rPr>
          <w:b/>
        </w:rPr>
      </w:pPr>
      <w:r>
        <w:rPr>
          <w:b/>
        </w:rPr>
        <w:t>Findings</w:t>
      </w:r>
    </w:p>
    <w:p w14:paraId="02DB5048" w14:textId="77777777" w:rsidR="00AB0364" w:rsidRDefault="00AB0364" w:rsidP="00BF7C5D">
      <w:pPr>
        <w:rPr>
          <w:bCs/>
        </w:rPr>
      </w:pPr>
    </w:p>
    <w:p w14:paraId="771578F9" w14:textId="2718D476" w:rsidR="002D4709" w:rsidRDefault="002D4709" w:rsidP="00BF7C5D">
      <w:pPr>
        <w:rPr>
          <w:bCs/>
          <w:i/>
          <w:iCs/>
        </w:rPr>
      </w:pPr>
      <w:r>
        <w:rPr>
          <w:bCs/>
          <w:i/>
          <w:iCs/>
        </w:rPr>
        <w:t xml:space="preserve">Recognition of </w:t>
      </w:r>
      <w:r w:rsidR="00563C51">
        <w:rPr>
          <w:bCs/>
          <w:i/>
          <w:iCs/>
        </w:rPr>
        <w:t>Francis’</w:t>
      </w:r>
      <w:r>
        <w:rPr>
          <w:bCs/>
          <w:i/>
          <w:iCs/>
        </w:rPr>
        <w:t xml:space="preserve"> care and support needs</w:t>
      </w:r>
    </w:p>
    <w:p w14:paraId="44A9795A" w14:textId="1AC798DD" w:rsidR="00FF768A" w:rsidRDefault="00FF7F7B" w:rsidP="002E2BE2">
      <w:pPr>
        <w:rPr>
          <w:bCs/>
        </w:rPr>
      </w:pPr>
      <w:r>
        <w:rPr>
          <w:bCs/>
        </w:rPr>
        <w:t>Nationally, i</w:t>
      </w:r>
      <w:r w:rsidR="00F86485" w:rsidRPr="00BF7C5D">
        <w:rPr>
          <w:bCs/>
        </w:rPr>
        <w:t>ndividuals</w:t>
      </w:r>
      <w:r w:rsidR="00BF7C5D" w:rsidRPr="00BF7C5D">
        <w:rPr>
          <w:bCs/>
        </w:rPr>
        <w:t xml:space="preserve"> with alcohol dependence </w:t>
      </w:r>
      <w:r w:rsidR="00587E18">
        <w:rPr>
          <w:bCs/>
        </w:rPr>
        <w:t>are</w:t>
      </w:r>
      <w:r w:rsidR="00587E18" w:rsidRPr="00BF7C5D">
        <w:rPr>
          <w:bCs/>
        </w:rPr>
        <w:t xml:space="preserve"> </w:t>
      </w:r>
      <w:r w:rsidR="00BF7C5D" w:rsidRPr="00BF7C5D">
        <w:rPr>
          <w:bCs/>
        </w:rPr>
        <w:t>not always recognised as eligible</w:t>
      </w:r>
      <w:r w:rsidR="008C1693">
        <w:rPr>
          <w:bCs/>
        </w:rPr>
        <w:t xml:space="preserve"> for social care services</w:t>
      </w:r>
      <w:r w:rsidR="00F86485">
        <w:rPr>
          <w:bCs/>
        </w:rPr>
        <w:t xml:space="preserve"> </w:t>
      </w:r>
      <w:sdt>
        <w:sdtPr>
          <w:rPr>
            <w:bCs/>
          </w:rPr>
          <w:id w:val="33619582"/>
          <w:citation/>
        </w:sdtPr>
        <w:sdtEndPr/>
        <w:sdtContent>
          <w:r w:rsidR="00BF7C5D" w:rsidRPr="00BF7C5D">
            <w:rPr>
              <w:bCs/>
            </w:rPr>
            <w:fldChar w:fldCharType="begin"/>
          </w:r>
          <w:r w:rsidR="00BF7C5D" w:rsidRPr="00BF7C5D">
            <w:rPr>
              <w:bCs/>
            </w:rPr>
            <w:instrText xml:space="preserve"> CITATION Alc19 \l 2057 </w:instrText>
          </w:r>
          <w:r w:rsidR="00BF7C5D" w:rsidRPr="00BF7C5D">
            <w:rPr>
              <w:bCs/>
            </w:rPr>
            <w:fldChar w:fldCharType="separate"/>
          </w:r>
          <w:r w:rsidR="00094ACC">
            <w:rPr>
              <w:noProof/>
            </w:rPr>
            <w:t>(Alcohol Change UK, 2019)</w:t>
          </w:r>
          <w:r w:rsidR="00BF7C5D" w:rsidRPr="00BF7C5D">
            <w:rPr>
              <w:bCs/>
            </w:rPr>
            <w:fldChar w:fldCharType="end"/>
          </w:r>
        </w:sdtContent>
      </w:sdt>
      <w:r w:rsidR="00BF7C5D" w:rsidRPr="00BF7C5D">
        <w:rPr>
          <w:bCs/>
        </w:rPr>
        <w:t>.</w:t>
      </w:r>
      <w:r w:rsidR="00A01177">
        <w:rPr>
          <w:bCs/>
        </w:rPr>
        <w:t xml:space="preserve"> </w:t>
      </w:r>
      <w:r w:rsidR="00F7540C">
        <w:rPr>
          <w:bCs/>
        </w:rPr>
        <w:t xml:space="preserve">In the case of </w:t>
      </w:r>
      <w:r w:rsidR="00563C51">
        <w:rPr>
          <w:bCs/>
        </w:rPr>
        <w:t>Francis</w:t>
      </w:r>
      <w:r w:rsidR="0024016A">
        <w:rPr>
          <w:bCs/>
        </w:rPr>
        <w:t>,</w:t>
      </w:r>
      <w:r w:rsidR="00EB0E9D">
        <w:rPr>
          <w:bCs/>
        </w:rPr>
        <w:t xml:space="preserve"> it was his</w:t>
      </w:r>
      <w:r w:rsidR="00714953">
        <w:rPr>
          <w:bCs/>
        </w:rPr>
        <w:t xml:space="preserve"> </w:t>
      </w:r>
      <w:r w:rsidR="0091407B">
        <w:rPr>
          <w:bCs/>
        </w:rPr>
        <w:t>co-existing physical health difficulties</w:t>
      </w:r>
      <w:r w:rsidR="00EB0E9D">
        <w:rPr>
          <w:bCs/>
        </w:rPr>
        <w:t xml:space="preserve"> that</w:t>
      </w:r>
      <w:r w:rsidR="0091407B">
        <w:rPr>
          <w:bCs/>
        </w:rPr>
        <w:t xml:space="preserve"> meant he was considered to have care and support needs</w:t>
      </w:r>
      <w:r w:rsidR="00EB0E9D">
        <w:rPr>
          <w:bCs/>
        </w:rPr>
        <w:t>,</w:t>
      </w:r>
      <w:r w:rsidR="0091407B">
        <w:rPr>
          <w:bCs/>
        </w:rPr>
        <w:t xml:space="preserve"> under the primary support reason of physical support.</w:t>
      </w:r>
      <w:r w:rsidR="00065202">
        <w:rPr>
          <w:bCs/>
        </w:rPr>
        <w:t xml:space="preserve"> </w:t>
      </w:r>
      <w:r w:rsidR="00563C51">
        <w:rPr>
          <w:bCs/>
        </w:rPr>
        <w:t>Francis’</w:t>
      </w:r>
      <w:r w:rsidR="008C1693">
        <w:rPr>
          <w:bCs/>
        </w:rPr>
        <w:t xml:space="preserve"> harmful u</w:t>
      </w:r>
      <w:r w:rsidR="00B93DB7">
        <w:rPr>
          <w:bCs/>
        </w:rPr>
        <w:t>s</w:t>
      </w:r>
      <w:r w:rsidR="008C1693">
        <w:rPr>
          <w:bCs/>
        </w:rPr>
        <w:t>e of alcohol</w:t>
      </w:r>
      <w:r w:rsidR="00EB0E9D">
        <w:rPr>
          <w:bCs/>
        </w:rPr>
        <w:t>,</w:t>
      </w:r>
      <w:r w:rsidR="008C1693">
        <w:rPr>
          <w:bCs/>
        </w:rPr>
        <w:t xml:space="preserve"> and drugs </w:t>
      </w:r>
      <w:r w:rsidR="00EF33AC">
        <w:rPr>
          <w:bCs/>
        </w:rPr>
        <w:t>were</w:t>
      </w:r>
      <w:r w:rsidR="0091407B">
        <w:rPr>
          <w:bCs/>
        </w:rPr>
        <w:t xml:space="preserve"> </w:t>
      </w:r>
      <w:r w:rsidR="003D5074">
        <w:rPr>
          <w:bCs/>
        </w:rPr>
        <w:t xml:space="preserve">recognised </w:t>
      </w:r>
      <w:r w:rsidR="0024016A">
        <w:rPr>
          <w:bCs/>
        </w:rPr>
        <w:t xml:space="preserve">only </w:t>
      </w:r>
      <w:r w:rsidR="008C1693">
        <w:rPr>
          <w:bCs/>
        </w:rPr>
        <w:t xml:space="preserve">as </w:t>
      </w:r>
      <w:r w:rsidR="00D70321">
        <w:rPr>
          <w:bCs/>
        </w:rPr>
        <w:t>compounding factor</w:t>
      </w:r>
      <w:r w:rsidR="00EF33AC">
        <w:rPr>
          <w:bCs/>
        </w:rPr>
        <w:t>s</w:t>
      </w:r>
      <w:r w:rsidR="00D70321">
        <w:rPr>
          <w:bCs/>
        </w:rPr>
        <w:t xml:space="preserve"> that increased his </w:t>
      </w:r>
      <w:r w:rsidR="00CB2DD1">
        <w:rPr>
          <w:bCs/>
        </w:rPr>
        <w:t>vulnerabilities</w:t>
      </w:r>
      <w:r w:rsidR="00D70321">
        <w:rPr>
          <w:bCs/>
        </w:rPr>
        <w:t xml:space="preserve"> </w:t>
      </w:r>
      <w:r w:rsidR="0024016A">
        <w:rPr>
          <w:bCs/>
        </w:rPr>
        <w:t xml:space="preserve">and </w:t>
      </w:r>
      <w:r w:rsidR="00D70321">
        <w:rPr>
          <w:bCs/>
        </w:rPr>
        <w:t xml:space="preserve">created </w:t>
      </w:r>
      <w:r w:rsidR="00CB2DD1">
        <w:rPr>
          <w:bCs/>
        </w:rPr>
        <w:t xml:space="preserve">additional </w:t>
      </w:r>
      <w:r w:rsidR="00D70321">
        <w:rPr>
          <w:bCs/>
        </w:rPr>
        <w:t>challenges in providing care and support.</w:t>
      </w:r>
      <w:r w:rsidR="00CB2DD1">
        <w:rPr>
          <w:bCs/>
        </w:rPr>
        <w:t xml:space="preserve"> </w:t>
      </w:r>
      <w:r w:rsidR="00563C51">
        <w:rPr>
          <w:bCs/>
        </w:rPr>
        <w:t>Francis’</w:t>
      </w:r>
      <w:r w:rsidR="00BF7F35">
        <w:rPr>
          <w:bCs/>
        </w:rPr>
        <w:t xml:space="preserve"> substance misuse, combined with risks to</w:t>
      </w:r>
      <w:r w:rsidR="0057570D">
        <w:rPr>
          <w:bCs/>
        </w:rPr>
        <w:t xml:space="preserve"> female staff</w:t>
      </w:r>
      <w:r w:rsidR="00997FFA">
        <w:rPr>
          <w:bCs/>
        </w:rPr>
        <w:t xml:space="preserve">, </w:t>
      </w:r>
      <w:r w:rsidR="00CB2DD1">
        <w:rPr>
          <w:bCs/>
        </w:rPr>
        <w:t>and a</w:t>
      </w:r>
      <w:r w:rsidR="00997FFA">
        <w:rPr>
          <w:bCs/>
        </w:rPr>
        <w:t xml:space="preserve"> reluctance to engage</w:t>
      </w:r>
      <w:r w:rsidR="0057570D">
        <w:rPr>
          <w:bCs/>
        </w:rPr>
        <w:t>,</w:t>
      </w:r>
      <w:r w:rsidR="00997FFA">
        <w:rPr>
          <w:bCs/>
        </w:rPr>
        <w:t xml:space="preserve"> </w:t>
      </w:r>
      <w:r w:rsidR="00BE3439">
        <w:rPr>
          <w:bCs/>
        </w:rPr>
        <w:t xml:space="preserve">effectively </w:t>
      </w:r>
      <w:r w:rsidR="00997FFA">
        <w:rPr>
          <w:bCs/>
        </w:rPr>
        <w:t xml:space="preserve">excluded him from </w:t>
      </w:r>
      <w:r w:rsidR="00BE3439">
        <w:rPr>
          <w:bCs/>
        </w:rPr>
        <w:t xml:space="preserve">many </w:t>
      </w:r>
      <w:r w:rsidR="00997FFA">
        <w:rPr>
          <w:bCs/>
        </w:rPr>
        <w:t xml:space="preserve">local service providers who </w:t>
      </w:r>
      <w:r w:rsidR="00BE3439">
        <w:rPr>
          <w:bCs/>
        </w:rPr>
        <w:t xml:space="preserve">lacked the necessary </w:t>
      </w:r>
      <w:r w:rsidR="0057570D">
        <w:rPr>
          <w:bCs/>
        </w:rPr>
        <w:t xml:space="preserve">staff </w:t>
      </w:r>
      <w:r w:rsidR="00BE3439">
        <w:rPr>
          <w:bCs/>
        </w:rPr>
        <w:t>and skills to work with his needs</w:t>
      </w:r>
      <w:r w:rsidR="009A78B6">
        <w:rPr>
          <w:bCs/>
        </w:rPr>
        <w:t>.</w:t>
      </w:r>
      <w:r w:rsidR="00FF768A">
        <w:rPr>
          <w:bCs/>
        </w:rPr>
        <w:t xml:space="preserve"> </w:t>
      </w:r>
      <w:r w:rsidR="00BF7F35">
        <w:rPr>
          <w:bCs/>
        </w:rPr>
        <w:t>Practitioners</w:t>
      </w:r>
      <w:r w:rsidR="00E4210B">
        <w:rPr>
          <w:bCs/>
        </w:rPr>
        <w:t xml:space="preserve">, reflecting on the case after his death, noted that few services existed that were able to offer care services to individuals who </w:t>
      </w:r>
      <w:r w:rsidR="003A224C">
        <w:rPr>
          <w:bCs/>
        </w:rPr>
        <w:t xml:space="preserve">use drugs and alcohol </w:t>
      </w:r>
      <w:r w:rsidR="003A224C" w:rsidRPr="00B95DFD">
        <w:rPr>
          <w:bCs/>
        </w:rPr>
        <w:t>and</w:t>
      </w:r>
      <w:r w:rsidR="003A224C">
        <w:rPr>
          <w:bCs/>
        </w:rPr>
        <w:t xml:space="preserve"> who </w:t>
      </w:r>
      <w:r w:rsidR="00D6750A">
        <w:rPr>
          <w:bCs/>
        </w:rPr>
        <w:t xml:space="preserve">were </w:t>
      </w:r>
      <w:r w:rsidR="007462B7">
        <w:rPr>
          <w:bCs/>
        </w:rPr>
        <w:t>reluctant to engage in treatment.</w:t>
      </w:r>
      <w:r w:rsidR="00F43A66">
        <w:rPr>
          <w:bCs/>
        </w:rPr>
        <w:t xml:space="preserve"> </w:t>
      </w:r>
      <w:r w:rsidR="00B95DFD">
        <w:rPr>
          <w:bCs/>
        </w:rPr>
        <w:t xml:space="preserve">Addressing multiple needs and ambivalence in engagement is time-consuming and required </w:t>
      </w:r>
      <w:r w:rsidR="001A1B81">
        <w:rPr>
          <w:bCs/>
        </w:rPr>
        <w:t>flexibility and an investment of time on the part of the practitioner.</w:t>
      </w:r>
    </w:p>
    <w:p w14:paraId="2B2EF4B1" w14:textId="77777777" w:rsidR="00FF768A" w:rsidRDefault="00FF768A" w:rsidP="002E2BE2">
      <w:pPr>
        <w:rPr>
          <w:bCs/>
        </w:rPr>
      </w:pPr>
    </w:p>
    <w:p w14:paraId="07C0F9BA" w14:textId="122D27CF" w:rsidR="001E022F" w:rsidRDefault="00104782" w:rsidP="002E2BE2">
      <w:pPr>
        <w:rPr>
          <w:bCs/>
        </w:rPr>
      </w:pPr>
      <w:r>
        <w:rPr>
          <w:bCs/>
        </w:rPr>
        <w:t xml:space="preserve">One service that was able to maintain a working relationship with </w:t>
      </w:r>
      <w:r w:rsidR="00563C51">
        <w:rPr>
          <w:bCs/>
        </w:rPr>
        <w:t>Francis</w:t>
      </w:r>
      <w:r>
        <w:rPr>
          <w:bCs/>
        </w:rPr>
        <w:t xml:space="preserve"> was the </w:t>
      </w:r>
      <w:r w:rsidR="00DA255B">
        <w:rPr>
          <w:bCs/>
        </w:rPr>
        <w:t xml:space="preserve">Drug and Alcohol </w:t>
      </w:r>
      <w:r w:rsidR="00190BA4">
        <w:rPr>
          <w:bCs/>
        </w:rPr>
        <w:t xml:space="preserve">Recovery Service, however this </w:t>
      </w:r>
      <w:r w:rsidR="00DA255B">
        <w:rPr>
          <w:bCs/>
        </w:rPr>
        <w:t>relied on an</w:t>
      </w:r>
      <w:r w:rsidR="00190BA4">
        <w:rPr>
          <w:bCs/>
        </w:rPr>
        <w:t xml:space="preserve"> individual practitioner</w:t>
      </w:r>
      <w:r w:rsidR="00EF1C06">
        <w:rPr>
          <w:bCs/>
        </w:rPr>
        <w:t xml:space="preserve"> follow</w:t>
      </w:r>
      <w:r w:rsidR="00DA255B">
        <w:rPr>
          <w:bCs/>
        </w:rPr>
        <w:t>ing</w:t>
      </w:r>
      <w:r w:rsidR="00EF1C06">
        <w:rPr>
          <w:bCs/>
        </w:rPr>
        <w:t xml:space="preserve"> an</w:t>
      </w:r>
      <w:r w:rsidR="00190BA4">
        <w:rPr>
          <w:bCs/>
        </w:rPr>
        <w:t xml:space="preserve"> assertive approach</w:t>
      </w:r>
      <w:r w:rsidR="009F3DCC">
        <w:rPr>
          <w:bCs/>
        </w:rPr>
        <w:t xml:space="preserve"> </w:t>
      </w:r>
      <w:r w:rsidR="00EF1C06">
        <w:rPr>
          <w:bCs/>
        </w:rPr>
        <w:t>model</w:t>
      </w:r>
      <w:r w:rsidR="003C4536">
        <w:rPr>
          <w:bCs/>
        </w:rPr>
        <w:t xml:space="preserve">, beyond the usual scope of their role </w:t>
      </w:r>
      <w:r w:rsidR="00DA255B">
        <w:rPr>
          <w:bCs/>
        </w:rPr>
        <w:t>with</w:t>
      </w:r>
      <w:r w:rsidR="003C4536">
        <w:rPr>
          <w:bCs/>
        </w:rPr>
        <w:t>in that particular team.</w:t>
      </w:r>
      <w:r w:rsidR="00EC1735">
        <w:rPr>
          <w:bCs/>
        </w:rPr>
        <w:t xml:space="preserve"> </w:t>
      </w:r>
      <w:r w:rsidR="000436E3">
        <w:rPr>
          <w:bCs/>
        </w:rPr>
        <w:t>While</w:t>
      </w:r>
      <w:r w:rsidR="0002038E">
        <w:rPr>
          <w:bCs/>
        </w:rPr>
        <w:t xml:space="preserve"> A</w:t>
      </w:r>
      <w:r w:rsidR="000375ED">
        <w:rPr>
          <w:bCs/>
        </w:rPr>
        <w:t xml:space="preserve">chieve </w:t>
      </w:r>
      <w:r w:rsidR="0002038E">
        <w:rPr>
          <w:bCs/>
        </w:rPr>
        <w:t xml:space="preserve">operate </w:t>
      </w:r>
      <w:r w:rsidR="000436E3">
        <w:rPr>
          <w:bCs/>
        </w:rPr>
        <w:t>a</w:t>
      </w:r>
      <w:r w:rsidR="000375ED">
        <w:rPr>
          <w:bCs/>
        </w:rPr>
        <w:t>n</w:t>
      </w:r>
      <w:r w:rsidR="00EC1735">
        <w:rPr>
          <w:bCs/>
        </w:rPr>
        <w:t xml:space="preserve"> Assertive Outreach service Salford, in this case,</w:t>
      </w:r>
      <w:r w:rsidR="00DB4F9E">
        <w:rPr>
          <w:bCs/>
        </w:rPr>
        <w:t xml:space="preserve"> they</w:t>
      </w:r>
      <w:r w:rsidR="00EC1735">
        <w:rPr>
          <w:bCs/>
        </w:rPr>
        <w:t xml:space="preserve"> </w:t>
      </w:r>
      <w:r w:rsidR="003118E7">
        <w:rPr>
          <w:bCs/>
        </w:rPr>
        <w:t xml:space="preserve">were not involved with </w:t>
      </w:r>
      <w:r w:rsidR="00563C51">
        <w:rPr>
          <w:bCs/>
        </w:rPr>
        <w:t>Francis</w:t>
      </w:r>
      <w:r w:rsidR="00EC1735">
        <w:rPr>
          <w:bCs/>
        </w:rPr>
        <w:t>.</w:t>
      </w:r>
      <w:r w:rsidR="003118E7">
        <w:rPr>
          <w:bCs/>
        </w:rPr>
        <w:t xml:space="preserve"> </w:t>
      </w:r>
      <w:r w:rsidR="000436E3">
        <w:rPr>
          <w:bCs/>
        </w:rPr>
        <w:t xml:space="preserve">Compared to </w:t>
      </w:r>
      <w:r w:rsidR="00414232">
        <w:rPr>
          <w:bCs/>
        </w:rPr>
        <w:t xml:space="preserve">Assertive Outreach Teams </w:t>
      </w:r>
      <w:r w:rsidR="000436E3">
        <w:rPr>
          <w:bCs/>
        </w:rPr>
        <w:t>in the mental health sector</w:t>
      </w:r>
      <w:r w:rsidR="00DB5875">
        <w:rPr>
          <w:bCs/>
        </w:rPr>
        <w:t xml:space="preserve"> (see </w:t>
      </w:r>
      <w:r w:rsidR="00DB5875">
        <w:rPr>
          <w:noProof/>
        </w:rPr>
        <w:t>Kent &amp; Burns, 2005)</w:t>
      </w:r>
      <w:r w:rsidR="0023171D">
        <w:rPr>
          <w:bCs/>
        </w:rPr>
        <w:t xml:space="preserve"> </w:t>
      </w:r>
      <w:r w:rsidR="00FF1B28">
        <w:rPr>
          <w:bCs/>
        </w:rPr>
        <w:t xml:space="preserve">there is </w:t>
      </w:r>
      <w:r w:rsidR="0023171D">
        <w:rPr>
          <w:bCs/>
        </w:rPr>
        <w:t xml:space="preserve">good </w:t>
      </w:r>
      <w:r w:rsidR="00FF1B28">
        <w:rPr>
          <w:bCs/>
        </w:rPr>
        <w:t xml:space="preserve">evidence </w:t>
      </w:r>
      <w:r w:rsidR="00185BA1">
        <w:rPr>
          <w:bCs/>
        </w:rPr>
        <w:t xml:space="preserve">for </w:t>
      </w:r>
      <w:r w:rsidR="00F56113">
        <w:rPr>
          <w:bCs/>
        </w:rPr>
        <w:t>multi-agency</w:t>
      </w:r>
      <w:r w:rsidR="00F56113" w:rsidRPr="00796016">
        <w:rPr>
          <w:bCs/>
        </w:rPr>
        <w:t xml:space="preserve"> </w:t>
      </w:r>
      <w:r w:rsidR="00185BA1" w:rsidRPr="00796016">
        <w:rPr>
          <w:bCs/>
        </w:rPr>
        <w:t>alcohol</w:t>
      </w:r>
      <w:r w:rsidR="00185BA1">
        <w:rPr>
          <w:bCs/>
        </w:rPr>
        <w:t xml:space="preserve"> </w:t>
      </w:r>
      <w:r w:rsidR="00FF1B28">
        <w:rPr>
          <w:bCs/>
        </w:rPr>
        <w:t xml:space="preserve">assertive outreach </w:t>
      </w:r>
      <w:r w:rsidR="00185BA1">
        <w:rPr>
          <w:bCs/>
        </w:rPr>
        <w:t>approach</w:t>
      </w:r>
      <w:r w:rsidR="00C379FA">
        <w:rPr>
          <w:bCs/>
        </w:rPr>
        <w:t>es</w:t>
      </w:r>
      <w:r w:rsidR="00291807">
        <w:rPr>
          <w:bCs/>
        </w:rPr>
        <w:t>.</w:t>
      </w:r>
      <w:r w:rsidR="00796016">
        <w:rPr>
          <w:bCs/>
        </w:rPr>
        <w:t xml:space="preserve"> </w:t>
      </w:r>
      <w:r w:rsidR="00291807">
        <w:rPr>
          <w:bCs/>
        </w:rPr>
        <w:t xml:space="preserve">Research </w:t>
      </w:r>
      <w:r w:rsidR="006F472C">
        <w:rPr>
          <w:bCs/>
        </w:rPr>
        <w:t xml:space="preserve">at </w:t>
      </w:r>
      <w:r w:rsidR="00291807">
        <w:rPr>
          <w:bCs/>
        </w:rPr>
        <w:t xml:space="preserve">Salford </w:t>
      </w:r>
      <w:r w:rsidR="006F472C">
        <w:rPr>
          <w:bCs/>
        </w:rPr>
        <w:t xml:space="preserve">Royal Hospital </w:t>
      </w:r>
      <w:r w:rsidR="00291807">
        <w:rPr>
          <w:bCs/>
        </w:rPr>
        <w:t>found</w:t>
      </w:r>
      <w:r w:rsidR="00C85E99">
        <w:rPr>
          <w:bCs/>
        </w:rPr>
        <w:t xml:space="preserve"> significant reductions in alcohol-related unscheduled hospital admissions among patients </w:t>
      </w:r>
      <w:r w:rsidR="006F472C">
        <w:rPr>
          <w:bCs/>
        </w:rPr>
        <w:t>receiving an alcohol assertive outreach approach</w:t>
      </w:r>
      <w:r w:rsidR="00C85E99">
        <w:rPr>
          <w:bCs/>
        </w:rPr>
        <w:t xml:space="preserve"> </w:t>
      </w:r>
      <w:sdt>
        <w:sdtPr>
          <w:rPr>
            <w:bCs/>
          </w:rPr>
          <w:id w:val="-292287663"/>
          <w:citation/>
        </w:sdtPr>
        <w:sdtEndPr/>
        <w:sdtContent>
          <w:r w:rsidR="00EB7D68">
            <w:rPr>
              <w:bCs/>
            </w:rPr>
            <w:fldChar w:fldCharType="begin"/>
          </w:r>
          <w:r w:rsidR="00EB7D68">
            <w:rPr>
              <w:bCs/>
            </w:rPr>
            <w:instrText xml:space="preserve"> CITATION Hug13 \l 2057 </w:instrText>
          </w:r>
          <w:r w:rsidR="00EB7D68">
            <w:rPr>
              <w:bCs/>
            </w:rPr>
            <w:fldChar w:fldCharType="separate"/>
          </w:r>
          <w:r w:rsidR="00094ACC">
            <w:rPr>
              <w:noProof/>
            </w:rPr>
            <w:t>(Hughes, et al., 2013)</w:t>
          </w:r>
          <w:r w:rsidR="00EB7D68">
            <w:rPr>
              <w:bCs/>
            </w:rPr>
            <w:fldChar w:fldCharType="end"/>
          </w:r>
        </w:sdtContent>
      </w:sdt>
      <w:r w:rsidR="00C85E99">
        <w:rPr>
          <w:bCs/>
        </w:rPr>
        <w:t>.</w:t>
      </w:r>
    </w:p>
    <w:p w14:paraId="14B6DEB4" w14:textId="77777777" w:rsidR="00020F49" w:rsidRDefault="00020F49" w:rsidP="002E2BE2">
      <w:pPr>
        <w:rPr>
          <w:bCs/>
        </w:rPr>
      </w:pPr>
    </w:p>
    <w:p w14:paraId="4F7F4A05" w14:textId="3A8D32EE" w:rsidR="00A7246F" w:rsidRDefault="00F85125" w:rsidP="002E2BE2">
      <w:pPr>
        <w:rPr>
          <w:bCs/>
        </w:rPr>
      </w:pPr>
      <w:r>
        <w:rPr>
          <w:bCs/>
        </w:rPr>
        <w:t>Alcohol Change UK (2023) identify t</w:t>
      </w:r>
      <w:r w:rsidR="00575FA8">
        <w:rPr>
          <w:bCs/>
        </w:rPr>
        <w:t xml:space="preserve">he </w:t>
      </w:r>
      <w:r w:rsidR="00BE6D83">
        <w:rPr>
          <w:bCs/>
        </w:rPr>
        <w:t xml:space="preserve">common elements of an assertive </w:t>
      </w:r>
      <w:r w:rsidR="00B47C88">
        <w:rPr>
          <w:bCs/>
        </w:rPr>
        <w:t xml:space="preserve">outreach </w:t>
      </w:r>
      <w:r w:rsidR="00BE6D83">
        <w:rPr>
          <w:bCs/>
        </w:rPr>
        <w:t>approach</w:t>
      </w:r>
      <w:r w:rsidR="000D4AC5">
        <w:rPr>
          <w:bCs/>
        </w:rPr>
        <w:t>:</w:t>
      </w:r>
    </w:p>
    <w:p w14:paraId="0A12637A" w14:textId="77777777" w:rsidR="00B82022" w:rsidRDefault="00B82022" w:rsidP="002E2BE2">
      <w:pPr>
        <w:rPr>
          <w:bCs/>
        </w:rPr>
      </w:pPr>
    </w:p>
    <w:p w14:paraId="5631C75C" w14:textId="12A9F5DE" w:rsidR="00420AA2" w:rsidRDefault="00420AA2" w:rsidP="00420AA2">
      <w:pPr>
        <w:pStyle w:val="ListParagraph"/>
        <w:numPr>
          <w:ilvl w:val="0"/>
          <w:numId w:val="21"/>
        </w:numPr>
        <w:rPr>
          <w:bCs/>
        </w:rPr>
      </w:pPr>
      <w:r w:rsidRPr="00D22AE7">
        <w:rPr>
          <w:b/>
        </w:rPr>
        <w:t>Outreach</w:t>
      </w:r>
      <w:r w:rsidR="00860395" w:rsidRPr="00D22AE7">
        <w:rPr>
          <w:b/>
        </w:rPr>
        <w:t>:</w:t>
      </w:r>
      <w:r w:rsidR="00860395">
        <w:rPr>
          <w:bCs/>
        </w:rPr>
        <w:t xml:space="preserve"> taking the service to the individual</w:t>
      </w:r>
    </w:p>
    <w:p w14:paraId="715E8C44" w14:textId="048A4D52" w:rsidR="00420AA2" w:rsidRPr="0022520B" w:rsidRDefault="00420AA2" w:rsidP="00420AA2">
      <w:pPr>
        <w:pStyle w:val="ListParagraph"/>
        <w:numPr>
          <w:ilvl w:val="0"/>
          <w:numId w:val="21"/>
        </w:numPr>
        <w:rPr>
          <w:bCs/>
          <w:lang w:val="fr-FR"/>
        </w:rPr>
      </w:pPr>
      <w:r w:rsidRPr="0022520B">
        <w:rPr>
          <w:b/>
          <w:lang w:val="fr-FR"/>
        </w:rPr>
        <w:t xml:space="preserve">Assertive </w:t>
      </w:r>
      <w:r w:rsidR="00860395" w:rsidRPr="0022520B">
        <w:rPr>
          <w:b/>
          <w:lang w:val="fr-FR"/>
        </w:rPr>
        <w:t>engagement:</w:t>
      </w:r>
      <w:r w:rsidR="00530B96" w:rsidRPr="0022520B">
        <w:rPr>
          <w:bCs/>
          <w:lang w:val="fr-FR"/>
        </w:rPr>
        <w:t xml:space="preserve"> persistent </w:t>
      </w:r>
      <w:proofErr w:type="spellStart"/>
      <w:r w:rsidR="00530B96" w:rsidRPr="0022520B">
        <w:rPr>
          <w:bCs/>
          <w:lang w:val="fr-FR"/>
        </w:rPr>
        <w:t>attempts</w:t>
      </w:r>
      <w:proofErr w:type="spellEnd"/>
      <w:r w:rsidR="00530B96" w:rsidRPr="0022520B">
        <w:rPr>
          <w:bCs/>
          <w:lang w:val="fr-FR"/>
        </w:rPr>
        <w:t xml:space="preserve"> at contact</w:t>
      </w:r>
    </w:p>
    <w:p w14:paraId="07654D1E" w14:textId="1A9FE9D3" w:rsidR="00860395" w:rsidRDefault="00860395" w:rsidP="00420AA2">
      <w:pPr>
        <w:pStyle w:val="ListParagraph"/>
        <w:numPr>
          <w:ilvl w:val="0"/>
          <w:numId w:val="21"/>
        </w:numPr>
        <w:rPr>
          <w:bCs/>
        </w:rPr>
      </w:pPr>
      <w:r w:rsidRPr="00D22AE7">
        <w:rPr>
          <w:b/>
        </w:rPr>
        <w:t>Multi-disciplinary working</w:t>
      </w:r>
      <w:r w:rsidR="00530B96" w:rsidRPr="00D22AE7">
        <w:rPr>
          <w:b/>
        </w:rPr>
        <w:t>:</w:t>
      </w:r>
      <w:r w:rsidR="00530B96">
        <w:rPr>
          <w:bCs/>
        </w:rPr>
        <w:t xml:space="preserve"> linked to mainstream services</w:t>
      </w:r>
    </w:p>
    <w:p w14:paraId="74EF60AD" w14:textId="6756984D" w:rsidR="00860395" w:rsidRDefault="00860395" w:rsidP="00420AA2">
      <w:pPr>
        <w:pStyle w:val="ListParagraph"/>
        <w:numPr>
          <w:ilvl w:val="0"/>
          <w:numId w:val="21"/>
        </w:numPr>
        <w:rPr>
          <w:bCs/>
        </w:rPr>
      </w:pPr>
      <w:r w:rsidRPr="00D22AE7">
        <w:rPr>
          <w:b/>
        </w:rPr>
        <w:t>Holistic</w:t>
      </w:r>
      <w:r>
        <w:rPr>
          <w:bCs/>
        </w:rPr>
        <w:t xml:space="preserve"> </w:t>
      </w:r>
      <w:r w:rsidRPr="00D22AE7">
        <w:rPr>
          <w:b/>
        </w:rPr>
        <w:t>understanding of needs</w:t>
      </w:r>
      <w:r w:rsidR="00530B96" w:rsidRPr="00D22AE7">
        <w:rPr>
          <w:b/>
        </w:rPr>
        <w:t>:</w:t>
      </w:r>
      <w:r w:rsidR="00530B96">
        <w:rPr>
          <w:bCs/>
        </w:rPr>
        <w:t xml:space="preserve"> health, social</w:t>
      </w:r>
      <w:r w:rsidR="00253B2F">
        <w:rPr>
          <w:bCs/>
        </w:rPr>
        <w:t xml:space="preserve"> care</w:t>
      </w:r>
      <w:r w:rsidR="00530B96">
        <w:rPr>
          <w:bCs/>
        </w:rPr>
        <w:t xml:space="preserve">, </w:t>
      </w:r>
      <w:r w:rsidR="00253B2F">
        <w:rPr>
          <w:bCs/>
        </w:rPr>
        <w:t>housing, activity and employment, and social contact</w:t>
      </w:r>
    </w:p>
    <w:p w14:paraId="3579CDB2" w14:textId="60D57846" w:rsidR="00860395" w:rsidRPr="00D22AE7" w:rsidRDefault="00860395" w:rsidP="00420AA2">
      <w:pPr>
        <w:pStyle w:val="ListParagraph"/>
        <w:numPr>
          <w:ilvl w:val="0"/>
          <w:numId w:val="21"/>
        </w:numPr>
        <w:rPr>
          <w:b/>
        </w:rPr>
      </w:pPr>
      <w:r w:rsidRPr="00D22AE7">
        <w:rPr>
          <w:b/>
        </w:rPr>
        <w:t>Flexib</w:t>
      </w:r>
      <w:r w:rsidR="00253B2F" w:rsidRPr="00D22AE7">
        <w:rPr>
          <w:b/>
        </w:rPr>
        <w:t>ility</w:t>
      </w:r>
    </w:p>
    <w:p w14:paraId="665D8481" w14:textId="28B21F93" w:rsidR="001E51DE" w:rsidRPr="00D22AE7" w:rsidRDefault="001E51DE" w:rsidP="00420AA2">
      <w:pPr>
        <w:pStyle w:val="ListParagraph"/>
        <w:numPr>
          <w:ilvl w:val="0"/>
          <w:numId w:val="21"/>
        </w:numPr>
        <w:rPr>
          <w:b/>
        </w:rPr>
      </w:pPr>
      <w:r w:rsidRPr="00D22AE7">
        <w:rPr>
          <w:b/>
        </w:rPr>
        <w:t>Reliability</w:t>
      </w:r>
    </w:p>
    <w:p w14:paraId="39EDCFCF" w14:textId="6243EC47" w:rsidR="001E51DE" w:rsidRPr="00D22AE7" w:rsidRDefault="001E51DE" w:rsidP="00420AA2">
      <w:pPr>
        <w:pStyle w:val="ListParagraph"/>
        <w:numPr>
          <w:ilvl w:val="0"/>
          <w:numId w:val="21"/>
        </w:numPr>
        <w:rPr>
          <w:b/>
        </w:rPr>
      </w:pPr>
      <w:r w:rsidRPr="00D22AE7">
        <w:rPr>
          <w:b/>
        </w:rPr>
        <w:t>Non-threatening approach</w:t>
      </w:r>
    </w:p>
    <w:p w14:paraId="4FC32DE9" w14:textId="0BBA81D3" w:rsidR="001E51DE" w:rsidRPr="00D22AE7" w:rsidRDefault="001E51DE" w:rsidP="00420AA2">
      <w:pPr>
        <w:pStyle w:val="ListParagraph"/>
        <w:numPr>
          <w:ilvl w:val="0"/>
          <w:numId w:val="21"/>
        </w:numPr>
        <w:rPr>
          <w:b/>
        </w:rPr>
      </w:pPr>
      <w:r w:rsidRPr="00D22AE7">
        <w:rPr>
          <w:b/>
        </w:rPr>
        <w:t>Honest and open</w:t>
      </w:r>
    </w:p>
    <w:p w14:paraId="59EF8840" w14:textId="2E16C9AA" w:rsidR="00065202" w:rsidRDefault="00065202" w:rsidP="00420AA2">
      <w:pPr>
        <w:pStyle w:val="ListParagraph"/>
        <w:numPr>
          <w:ilvl w:val="0"/>
          <w:numId w:val="21"/>
        </w:numPr>
        <w:rPr>
          <w:bCs/>
        </w:rPr>
      </w:pPr>
      <w:r w:rsidRPr="00D22AE7">
        <w:rPr>
          <w:b/>
        </w:rPr>
        <w:t>Responsive:</w:t>
      </w:r>
      <w:r>
        <w:rPr>
          <w:bCs/>
        </w:rPr>
        <w:t xml:space="preserve"> person-</w:t>
      </w:r>
      <w:proofErr w:type="spellStart"/>
      <w:r>
        <w:rPr>
          <w:bCs/>
        </w:rPr>
        <w:t>centred</w:t>
      </w:r>
      <w:proofErr w:type="spellEnd"/>
      <w:r>
        <w:rPr>
          <w:bCs/>
        </w:rPr>
        <w:t xml:space="preserve"> in goals and outcomes</w:t>
      </w:r>
    </w:p>
    <w:p w14:paraId="73B274FB" w14:textId="648BEA71" w:rsidR="00065202" w:rsidRPr="00420AA2" w:rsidRDefault="00065202" w:rsidP="00420AA2">
      <w:pPr>
        <w:pStyle w:val="ListParagraph"/>
        <w:numPr>
          <w:ilvl w:val="0"/>
          <w:numId w:val="21"/>
        </w:numPr>
        <w:rPr>
          <w:bCs/>
        </w:rPr>
      </w:pPr>
      <w:r w:rsidRPr="00D22AE7">
        <w:rPr>
          <w:b/>
        </w:rPr>
        <w:t>Human:</w:t>
      </w:r>
      <w:r>
        <w:rPr>
          <w:bCs/>
        </w:rPr>
        <w:t xml:space="preserve"> success is dependent on human relationships</w:t>
      </w:r>
    </w:p>
    <w:p w14:paraId="4FCADCEE" w14:textId="77777777" w:rsidR="00420AA2" w:rsidRDefault="00420AA2" w:rsidP="002E2BE2">
      <w:pPr>
        <w:rPr>
          <w:bCs/>
        </w:rPr>
      </w:pPr>
    </w:p>
    <w:p w14:paraId="4AB5A50A" w14:textId="6E7923C0" w:rsidR="00065202" w:rsidRPr="0022520B" w:rsidRDefault="008A56FF" w:rsidP="00F86C7E">
      <w:pPr>
        <w:ind w:left="360" w:firstLine="360"/>
        <w:rPr>
          <w:bCs/>
          <w:lang w:val="nl-NL"/>
        </w:rPr>
      </w:pPr>
      <w:sdt>
        <w:sdtPr>
          <w:rPr>
            <w:bCs/>
          </w:rPr>
          <w:id w:val="-605425762"/>
          <w:citation/>
        </w:sdtPr>
        <w:sdtEndPr/>
        <w:sdtContent>
          <w:r w:rsidR="00F86C7E">
            <w:rPr>
              <w:bCs/>
            </w:rPr>
            <w:fldChar w:fldCharType="begin"/>
          </w:r>
          <w:r w:rsidR="00963BB2" w:rsidRPr="0022520B">
            <w:rPr>
              <w:bCs/>
              <w:lang w:val="nl-NL"/>
            </w:rPr>
            <w:instrText xml:space="preserve">CITATION War23 \l 2057 </w:instrText>
          </w:r>
          <w:r w:rsidR="00F86C7E">
            <w:rPr>
              <w:bCs/>
            </w:rPr>
            <w:fldChar w:fldCharType="separate"/>
          </w:r>
          <w:r w:rsidR="00094ACC" w:rsidRPr="0022520B">
            <w:rPr>
              <w:noProof/>
              <w:lang w:val="nl-NL"/>
            </w:rPr>
            <w:t>(Alcohol Change UK: Ward, M &amp; Holmes, M., 2023)</w:t>
          </w:r>
          <w:r w:rsidR="00F86C7E">
            <w:rPr>
              <w:bCs/>
            </w:rPr>
            <w:fldChar w:fldCharType="end"/>
          </w:r>
        </w:sdtContent>
      </w:sdt>
    </w:p>
    <w:p w14:paraId="0D6E3892" w14:textId="77777777" w:rsidR="00A7246F" w:rsidRPr="0022520B" w:rsidRDefault="00A7246F" w:rsidP="002E2BE2">
      <w:pPr>
        <w:rPr>
          <w:bCs/>
          <w:lang w:val="nl-NL"/>
        </w:rPr>
      </w:pPr>
    </w:p>
    <w:p w14:paraId="50C2DBB3" w14:textId="48D93395" w:rsidR="00FE039C" w:rsidRDefault="000D4AC5" w:rsidP="002E2BE2">
      <w:pPr>
        <w:rPr>
          <w:bCs/>
        </w:rPr>
      </w:pPr>
      <w:r>
        <w:rPr>
          <w:bCs/>
        </w:rPr>
        <w:t>It may be useful to consider these characteristics in the context of safeguarding cases of high risk, either through a bespoke offer by the multi-agency team, or through referral of high-risk cases to the</w:t>
      </w:r>
      <w:r w:rsidR="006542F5">
        <w:rPr>
          <w:bCs/>
        </w:rPr>
        <w:t xml:space="preserve"> Achieve</w:t>
      </w:r>
      <w:r>
        <w:rPr>
          <w:bCs/>
        </w:rPr>
        <w:t xml:space="preserve"> Assertive Outreach team.</w:t>
      </w:r>
    </w:p>
    <w:p w14:paraId="3F2F6A1D" w14:textId="77777777" w:rsidR="000D4AC5" w:rsidRDefault="000D4AC5" w:rsidP="002E2BE2">
      <w:pPr>
        <w:rPr>
          <w:bCs/>
        </w:rPr>
      </w:pPr>
    </w:p>
    <w:p w14:paraId="001E3879" w14:textId="77777777" w:rsidR="002E2BE2" w:rsidRDefault="002E2BE2" w:rsidP="002E2BE2">
      <w:pPr>
        <w:rPr>
          <w:bCs/>
        </w:rPr>
      </w:pPr>
    </w:p>
    <w:p w14:paraId="22693980" w14:textId="77777777" w:rsidR="002E2BE2" w:rsidRDefault="002E2BE2" w:rsidP="002E2BE2">
      <w:pPr>
        <w:pStyle w:val="Findingtext"/>
      </w:pPr>
    </w:p>
    <w:p w14:paraId="39CF982D" w14:textId="47CA753E" w:rsidR="002E2BE2" w:rsidRDefault="002E2BE2" w:rsidP="002E2BE2">
      <w:pPr>
        <w:pStyle w:val="FindingTitle"/>
      </w:pPr>
      <w:bookmarkStart w:id="24" w:name="_Toc165109321"/>
      <w:r>
        <w:t xml:space="preserve">Finding </w:t>
      </w:r>
      <w:r w:rsidR="00A66F89">
        <w:t>2</w:t>
      </w:r>
      <w:r>
        <w:t xml:space="preserve">: </w:t>
      </w:r>
      <w:r w:rsidR="00220878">
        <w:t>Alcohol Assertive Outreach Approach</w:t>
      </w:r>
      <w:r w:rsidR="000375ED">
        <w:t>es</w:t>
      </w:r>
      <w:bookmarkEnd w:id="24"/>
    </w:p>
    <w:p w14:paraId="6C0DD2CF" w14:textId="77777777" w:rsidR="002E2BE2" w:rsidRDefault="002E2BE2" w:rsidP="002E2BE2">
      <w:pPr>
        <w:pStyle w:val="Findingtext"/>
      </w:pPr>
    </w:p>
    <w:p w14:paraId="695D2E95" w14:textId="77777777" w:rsidR="002E2BE2" w:rsidRPr="007354B8" w:rsidRDefault="002E2BE2" w:rsidP="002E2BE2">
      <w:pPr>
        <w:pStyle w:val="Findingtext"/>
        <w:rPr>
          <w:b/>
          <w:bCs/>
        </w:rPr>
      </w:pPr>
      <w:r w:rsidRPr="007354B8">
        <w:rPr>
          <w:b/>
          <w:bCs/>
        </w:rPr>
        <w:t>Underlying issue</w:t>
      </w:r>
    </w:p>
    <w:p w14:paraId="0819A382" w14:textId="2C942A24" w:rsidR="002E2BE2" w:rsidRDefault="00467A8C" w:rsidP="002E2BE2">
      <w:pPr>
        <w:pStyle w:val="Findingtext"/>
      </w:pPr>
      <w:r>
        <w:t>“</w:t>
      </w:r>
      <w:r w:rsidR="0079393C">
        <w:t>Alcohol issues are rarely simple</w:t>
      </w:r>
      <w:r>
        <w:t>…</w:t>
      </w:r>
      <w:r w:rsidR="0079393C">
        <w:t xml:space="preserve"> </w:t>
      </w:r>
      <w:r>
        <w:t>and may be linked to other physical and mental health issues, and to social and relationship difficulties”</w:t>
      </w:r>
      <w:r w:rsidR="0047789D">
        <w:t xml:space="preserve"> </w:t>
      </w:r>
      <w:sdt>
        <w:sdtPr>
          <w:id w:val="-624536142"/>
          <w:citation/>
        </w:sdtPr>
        <w:sdtEndPr/>
        <w:sdtContent>
          <w:r w:rsidR="0047789D">
            <w:fldChar w:fldCharType="begin"/>
          </w:r>
          <w:r w:rsidR="0047789D">
            <w:instrText xml:space="preserve"> CITATION War23 \l 2057 </w:instrText>
          </w:r>
          <w:r w:rsidR="0047789D">
            <w:fldChar w:fldCharType="separate"/>
          </w:r>
          <w:r w:rsidR="00094ACC">
            <w:rPr>
              <w:noProof/>
            </w:rPr>
            <w:t>(Alcohol Change UK: Ward, M &amp; Holmes, M., 2023)</w:t>
          </w:r>
          <w:r w:rsidR="0047789D">
            <w:fldChar w:fldCharType="end"/>
          </w:r>
        </w:sdtContent>
      </w:sdt>
      <w:r w:rsidR="0047789D">
        <w:t>.</w:t>
      </w:r>
      <w:r w:rsidR="00837AB5">
        <w:rPr>
          <w:bCs/>
        </w:rPr>
        <w:t xml:space="preserve"> </w:t>
      </w:r>
      <w:r w:rsidR="005F5885">
        <w:rPr>
          <w:bCs/>
        </w:rPr>
        <w:t xml:space="preserve">In the case of </w:t>
      </w:r>
      <w:r w:rsidR="00563C51">
        <w:rPr>
          <w:bCs/>
        </w:rPr>
        <w:t>Francis</w:t>
      </w:r>
      <w:r w:rsidR="005F5885">
        <w:rPr>
          <w:bCs/>
        </w:rPr>
        <w:t xml:space="preserve">, he was unable to engage effectively with the traditional alcohol treatment model without </w:t>
      </w:r>
      <w:r w:rsidR="00F366B3">
        <w:rPr>
          <w:bCs/>
        </w:rPr>
        <w:t>a high level of input and the personal commitment of his allocated worker.</w:t>
      </w:r>
    </w:p>
    <w:p w14:paraId="5AA271B1" w14:textId="77777777" w:rsidR="002E2BE2" w:rsidRDefault="002E2BE2" w:rsidP="002E2BE2">
      <w:pPr>
        <w:pStyle w:val="Findingtext"/>
      </w:pPr>
    </w:p>
    <w:p w14:paraId="24F0675F" w14:textId="0E22FB0F" w:rsidR="002E2BE2" w:rsidRPr="007354B8" w:rsidRDefault="006341A9" w:rsidP="002E2BE2">
      <w:pPr>
        <w:pStyle w:val="Findingtext"/>
        <w:rPr>
          <w:b/>
          <w:bCs/>
        </w:rPr>
      </w:pPr>
      <w:r>
        <w:rPr>
          <w:b/>
          <w:bCs/>
        </w:rPr>
        <w:t>Rationale for change</w:t>
      </w:r>
    </w:p>
    <w:p w14:paraId="35BA79B6" w14:textId="6242C212" w:rsidR="002E2BE2" w:rsidRDefault="005F5885" w:rsidP="002E2BE2">
      <w:pPr>
        <w:pStyle w:val="Findingtext"/>
      </w:pPr>
      <w:r>
        <w:rPr>
          <w:bCs/>
        </w:rPr>
        <w:t xml:space="preserve">For individuals who are vulnerable and who struggle to engage with a traditional approach to alcohol treatment, there is good evidence that an alcohol assertive outreach approach is effective. </w:t>
      </w:r>
      <w:sdt>
        <w:sdtPr>
          <w:rPr>
            <w:bCs/>
          </w:rPr>
          <w:id w:val="-1261059723"/>
          <w:citation/>
        </w:sdtPr>
        <w:sdtEndPr/>
        <w:sdtContent>
          <w:r>
            <w:rPr>
              <w:bCs/>
            </w:rPr>
            <w:fldChar w:fldCharType="begin"/>
          </w:r>
          <w:r>
            <w:rPr>
              <w:bCs/>
            </w:rPr>
            <w:instrText xml:space="preserve"> CITATION War23 \l 2057 </w:instrText>
          </w:r>
          <w:r>
            <w:rPr>
              <w:bCs/>
            </w:rPr>
            <w:fldChar w:fldCharType="separate"/>
          </w:r>
          <w:r>
            <w:rPr>
              <w:noProof/>
            </w:rPr>
            <w:t>(Alcohol Change UK: Ward, M &amp; Holmes, M., 2023)</w:t>
          </w:r>
          <w:r>
            <w:rPr>
              <w:bCs/>
            </w:rPr>
            <w:fldChar w:fldCharType="end"/>
          </w:r>
        </w:sdtContent>
      </w:sdt>
      <w:sdt>
        <w:sdtPr>
          <w:rPr>
            <w:bCs/>
          </w:rPr>
          <w:id w:val="1011030538"/>
          <w:citation/>
        </w:sdtPr>
        <w:sdtEndPr/>
        <w:sdtContent>
          <w:r>
            <w:rPr>
              <w:bCs/>
            </w:rPr>
            <w:fldChar w:fldCharType="begin"/>
          </w:r>
          <w:r>
            <w:rPr>
              <w:bCs/>
            </w:rPr>
            <w:instrText xml:space="preserve"> CITATION Hug13 \l 2057 </w:instrText>
          </w:r>
          <w:r>
            <w:rPr>
              <w:bCs/>
            </w:rPr>
            <w:fldChar w:fldCharType="separate"/>
          </w:r>
          <w:r>
            <w:rPr>
              <w:bCs/>
              <w:noProof/>
            </w:rPr>
            <w:t xml:space="preserve"> </w:t>
          </w:r>
          <w:r>
            <w:rPr>
              <w:noProof/>
            </w:rPr>
            <w:t>(Hughes, et al., 2013)</w:t>
          </w:r>
          <w:r>
            <w:rPr>
              <w:bCs/>
            </w:rPr>
            <w:fldChar w:fldCharType="end"/>
          </w:r>
        </w:sdtContent>
      </w:sdt>
      <w:r>
        <w:rPr>
          <w:bCs/>
        </w:rPr>
        <w:t xml:space="preserve">. </w:t>
      </w:r>
      <w:r w:rsidR="00EA6FC3">
        <w:t xml:space="preserve">Targeted assertive outreach </w:t>
      </w:r>
      <w:r>
        <w:t xml:space="preserve">teams are </w:t>
      </w:r>
      <w:r w:rsidR="007A144E">
        <w:t xml:space="preserve">effective at addressing health and social care issues, reducing the financial burden of </w:t>
      </w:r>
      <w:r w:rsidR="00973F9E">
        <w:t xml:space="preserve">emergency care and hospital treatment, and </w:t>
      </w:r>
      <w:r w:rsidR="00731F72">
        <w:t>could support improved safeguarding outcomes for adults at risk of abuse, neglect, or exploitation.</w:t>
      </w:r>
      <w:r w:rsidR="00E744BB" w:rsidRPr="00E744BB">
        <w:rPr>
          <w:bCs/>
        </w:rPr>
        <w:t xml:space="preserve"> </w:t>
      </w:r>
    </w:p>
    <w:p w14:paraId="1CA61DAE" w14:textId="77777777" w:rsidR="002E2BE2" w:rsidRDefault="002E2BE2" w:rsidP="002E2BE2">
      <w:pPr>
        <w:pStyle w:val="Findingtext"/>
      </w:pPr>
    </w:p>
    <w:p w14:paraId="14F114FA" w14:textId="7AE06594" w:rsidR="002A71A6" w:rsidRDefault="006341A9" w:rsidP="000C0861">
      <w:pPr>
        <w:pStyle w:val="Findingtext"/>
      </w:pPr>
      <w:r>
        <w:rPr>
          <w:b/>
          <w:bCs/>
        </w:rPr>
        <w:t>Questions for the Safeguarding Adults Board</w:t>
      </w:r>
    </w:p>
    <w:p w14:paraId="3ED619CD" w14:textId="492A49CC" w:rsidR="002709DD" w:rsidRDefault="00BA4BEA" w:rsidP="00BA4BEA">
      <w:pPr>
        <w:pStyle w:val="Findingtext"/>
        <w:ind w:left="1701" w:hanging="1701"/>
      </w:pPr>
      <w:r w:rsidRPr="0089572D">
        <w:rPr>
          <w:b/>
          <w:bCs/>
        </w:rPr>
        <w:t xml:space="preserve">Finding </w:t>
      </w:r>
      <w:r w:rsidR="000B6614">
        <w:rPr>
          <w:b/>
          <w:bCs/>
        </w:rPr>
        <w:t>2</w:t>
      </w:r>
      <w:r w:rsidRPr="0089572D">
        <w:rPr>
          <w:b/>
          <w:bCs/>
        </w:rPr>
        <w:t xml:space="preserve">, </w:t>
      </w:r>
      <w:proofErr w:type="spellStart"/>
      <w:r w:rsidRPr="0089572D">
        <w:rPr>
          <w:b/>
          <w:bCs/>
        </w:rPr>
        <w:t>Q1</w:t>
      </w:r>
      <w:proofErr w:type="spellEnd"/>
      <w:r w:rsidRPr="0089572D">
        <w:rPr>
          <w:b/>
          <w:bCs/>
        </w:rPr>
        <w:t>:</w:t>
      </w:r>
      <w:r>
        <w:rPr>
          <w:b/>
          <w:bCs/>
        </w:rPr>
        <w:tab/>
      </w:r>
      <w:r w:rsidR="00DA4127">
        <w:t>Does the</w:t>
      </w:r>
      <w:r w:rsidR="00733111">
        <w:t xml:space="preserve"> referral process for the </w:t>
      </w:r>
      <w:r w:rsidR="00E62256">
        <w:t xml:space="preserve">Achieve </w:t>
      </w:r>
      <w:r w:rsidR="00733111">
        <w:t>Assertive Outreach Team</w:t>
      </w:r>
      <w:r w:rsidR="00C71D6F">
        <w:t xml:space="preserve"> reach all agencies and service users who need to be referred</w:t>
      </w:r>
      <w:r w:rsidR="00733111">
        <w:t>?</w:t>
      </w:r>
    </w:p>
    <w:p w14:paraId="04230F7B" w14:textId="64901F0D" w:rsidR="00BB6E56" w:rsidRDefault="00BA4BEA" w:rsidP="000C0861">
      <w:pPr>
        <w:pStyle w:val="Findingtext"/>
        <w:ind w:left="1701" w:hanging="1701"/>
      </w:pPr>
      <w:r>
        <w:rPr>
          <w:b/>
          <w:bCs/>
        </w:rPr>
        <w:t xml:space="preserve">Finding </w:t>
      </w:r>
      <w:r w:rsidR="000B6614">
        <w:rPr>
          <w:b/>
          <w:bCs/>
        </w:rPr>
        <w:t>2</w:t>
      </w:r>
      <w:r>
        <w:rPr>
          <w:b/>
          <w:bCs/>
        </w:rPr>
        <w:t xml:space="preserve">, </w:t>
      </w:r>
      <w:proofErr w:type="spellStart"/>
      <w:r>
        <w:rPr>
          <w:b/>
          <w:bCs/>
        </w:rPr>
        <w:t>Q2</w:t>
      </w:r>
      <w:proofErr w:type="spellEnd"/>
      <w:r>
        <w:rPr>
          <w:b/>
          <w:bCs/>
        </w:rPr>
        <w:t>:</w:t>
      </w:r>
      <w:r>
        <w:tab/>
      </w:r>
      <w:r w:rsidR="00C56E96">
        <w:t xml:space="preserve">How can the Safeguarding Adults Board and </w:t>
      </w:r>
      <w:r w:rsidR="00E62256">
        <w:t xml:space="preserve">Achieve </w:t>
      </w:r>
      <w:r w:rsidR="00C56E96">
        <w:t xml:space="preserve">Assertive Outreach Team make </w:t>
      </w:r>
      <w:r w:rsidR="00C064FE">
        <w:t xml:space="preserve">safeguarding services </w:t>
      </w:r>
      <w:r w:rsidR="00C56E96">
        <w:t xml:space="preserve">and potential referral agencies more </w:t>
      </w:r>
      <w:r w:rsidR="00C064FE">
        <w:t>knowledgeable about the team, its offer, and thresholds for referral?</w:t>
      </w:r>
    </w:p>
    <w:p w14:paraId="7EE8A9B4" w14:textId="77777777" w:rsidR="002E2BE2" w:rsidRDefault="002E2BE2" w:rsidP="002E2BE2">
      <w:pPr>
        <w:pStyle w:val="Findingtext"/>
      </w:pPr>
    </w:p>
    <w:p w14:paraId="425E74D9" w14:textId="24616088" w:rsidR="00674F03" w:rsidRPr="000C0861" w:rsidRDefault="00674F03" w:rsidP="002E2BE2">
      <w:pPr>
        <w:pStyle w:val="Findingtext"/>
        <w:rPr>
          <w:b/>
          <w:bCs/>
        </w:rPr>
      </w:pPr>
      <w:r w:rsidRPr="000C0861">
        <w:rPr>
          <w:b/>
          <w:bCs/>
        </w:rPr>
        <w:t>Impact and measurement</w:t>
      </w:r>
    </w:p>
    <w:p w14:paraId="180ACCBE" w14:textId="5C813612" w:rsidR="00674F03" w:rsidRDefault="00674F03" w:rsidP="002E2BE2">
      <w:pPr>
        <w:pStyle w:val="Findingtext"/>
      </w:pPr>
      <w:r>
        <w:t xml:space="preserve">This </w:t>
      </w:r>
      <w:r w:rsidR="00BB53D9">
        <w:t>finding</w:t>
      </w:r>
      <w:r>
        <w:t xml:space="preserve"> is intended to </w:t>
      </w:r>
      <w:r w:rsidR="00D832EC">
        <w:t xml:space="preserve">ensure that </w:t>
      </w:r>
      <w:r w:rsidR="006B47B0">
        <w:t xml:space="preserve">referring agencies </w:t>
      </w:r>
      <w:r w:rsidR="00931957">
        <w:t xml:space="preserve">and safeguarding services understand the service offer and criteria for the </w:t>
      </w:r>
      <w:r w:rsidR="00E62256">
        <w:t>Achieve</w:t>
      </w:r>
      <w:r w:rsidR="00931957">
        <w:t xml:space="preserve"> Assertive Outreach Team so that appropriate cases are referred. </w:t>
      </w:r>
      <w:r w:rsidR="002A7F09">
        <w:t xml:space="preserve">It may also be useful to review the service offer in relation to the advice that the </w:t>
      </w:r>
      <w:r w:rsidR="00225362">
        <w:t>Assertive Outreach Team could provide to safeguarding where a referral would not meet their criteria for input.</w:t>
      </w:r>
      <w:r w:rsidR="009C22B7">
        <w:t xml:space="preserve"> An audit of referrals (referring agency, quality, appropriateness, and percentage-acceptance rate)</w:t>
      </w:r>
      <w:r w:rsidR="0063773C">
        <w:t xml:space="preserve"> </w:t>
      </w:r>
      <w:r w:rsidR="009C22B7">
        <w:t xml:space="preserve">before and after </w:t>
      </w:r>
      <w:r w:rsidR="0079377B">
        <w:t>actions will show the impact</w:t>
      </w:r>
      <w:r w:rsidR="003E15BD">
        <w:t xml:space="preserve"> on referrals</w:t>
      </w:r>
      <w:r w:rsidR="00B82022">
        <w:t>.</w:t>
      </w:r>
      <w:r w:rsidR="0079377B">
        <w:t xml:space="preserve"> </w:t>
      </w:r>
    </w:p>
    <w:p w14:paraId="5A846CCA" w14:textId="77777777" w:rsidR="00674F03" w:rsidRDefault="00674F03" w:rsidP="002E2BE2">
      <w:pPr>
        <w:pStyle w:val="Findingtext"/>
      </w:pPr>
    </w:p>
    <w:p w14:paraId="0CA17780" w14:textId="77777777" w:rsidR="002E2BE2" w:rsidRDefault="002E2BE2" w:rsidP="00CF4C5E">
      <w:pPr>
        <w:rPr>
          <w:bCs/>
        </w:rPr>
      </w:pPr>
    </w:p>
    <w:p w14:paraId="7A2DF065" w14:textId="77777777" w:rsidR="004A4321" w:rsidRDefault="004A4321">
      <w:pPr>
        <w:spacing w:after="160" w:line="259" w:lineRule="auto"/>
        <w:rPr>
          <w:rFonts w:eastAsiaTheme="majorEastAsia" w:cstheme="majorBidi"/>
          <w:color w:val="660066"/>
          <w:sz w:val="24"/>
          <w:szCs w:val="26"/>
        </w:rPr>
      </w:pPr>
      <w:r>
        <w:br w:type="page"/>
      </w:r>
    </w:p>
    <w:p w14:paraId="206C4FA5" w14:textId="33AFCBE5" w:rsidR="002E2BE2" w:rsidRDefault="002E2BE2" w:rsidP="002E2BE2">
      <w:pPr>
        <w:pStyle w:val="Heading2"/>
        <w:spacing w:after="0"/>
      </w:pPr>
      <w:bookmarkStart w:id="25" w:name="_Toc165109322"/>
      <w:r>
        <w:t>TOR 3: Timely allocation</w:t>
      </w:r>
      <w:bookmarkEnd w:id="25"/>
      <w:r>
        <w:t xml:space="preserve"> </w:t>
      </w:r>
    </w:p>
    <w:p w14:paraId="76383000" w14:textId="7CD86BAB" w:rsidR="002E2BE2" w:rsidRPr="00D357F5" w:rsidRDefault="001A0AC3" w:rsidP="002E2BE2">
      <w:pPr>
        <w:rPr>
          <w:bCs/>
          <w:i/>
          <w:iCs/>
        </w:rPr>
      </w:pPr>
      <w:r>
        <w:rPr>
          <w:bCs/>
          <w:i/>
          <w:iCs/>
        </w:rPr>
        <w:t xml:space="preserve">Did safeguarding systems respond in a timely manner to risks </w:t>
      </w:r>
      <w:r w:rsidR="000F06B0">
        <w:rPr>
          <w:bCs/>
          <w:i/>
          <w:iCs/>
        </w:rPr>
        <w:t>identified?</w:t>
      </w:r>
    </w:p>
    <w:p w14:paraId="64965FA4" w14:textId="77777777" w:rsidR="002E2BE2" w:rsidRDefault="002E2BE2" w:rsidP="002E2BE2">
      <w:pPr>
        <w:rPr>
          <w:bCs/>
        </w:rPr>
      </w:pPr>
    </w:p>
    <w:p w14:paraId="12B23C9C" w14:textId="5ACBE1CB" w:rsidR="007B5091" w:rsidRDefault="007B5091" w:rsidP="002E2BE2">
      <w:pPr>
        <w:rPr>
          <w:bCs/>
        </w:rPr>
      </w:pPr>
      <w:r w:rsidRPr="00FE33D8">
        <w:rPr>
          <w:b/>
        </w:rPr>
        <w:t>Context</w:t>
      </w:r>
    </w:p>
    <w:p w14:paraId="77C94D96" w14:textId="77777777" w:rsidR="00B62B65" w:rsidRDefault="00B62B65" w:rsidP="002E2BE2">
      <w:pPr>
        <w:rPr>
          <w:bCs/>
        </w:rPr>
      </w:pPr>
    </w:p>
    <w:p w14:paraId="281C9F46" w14:textId="7CAADAFC" w:rsidR="00B62B65" w:rsidRDefault="004D1EF7" w:rsidP="002E2BE2">
      <w:pPr>
        <w:rPr>
          <w:bCs/>
        </w:rPr>
      </w:pPr>
      <w:r>
        <w:rPr>
          <w:bCs/>
        </w:rPr>
        <w:t xml:space="preserve">The aims of </w:t>
      </w:r>
      <w:r w:rsidR="00184C0B">
        <w:rPr>
          <w:bCs/>
        </w:rPr>
        <w:t xml:space="preserve">Safeguarding </w:t>
      </w:r>
      <w:r w:rsidR="00DF7A2B">
        <w:rPr>
          <w:bCs/>
        </w:rPr>
        <w:t xml:space="preserve">adults with care and support needs </w:t>
      </w:r>
      <w:r w:rsidR="00581B83">
        <w:rPr>
          <w:bCs/>
        </w:rPr>
        <w:t>are to prevent harm</w:t>
      </w:r>
      <w:r w:rsidR="003C2C25">
        <w:rPr>
          <w:bCs/>
        </w:rPr>
        <w:t xml:space="preserve"> and reduce the risk of abuse</w:t>
      </w:r>
      <w:r w:rsidR="00DF7A2B">
        <w:rPr>
          <w:bCs/>
        </w:rPr>
        <w:t>,</w:t>
      </w:r>
      <w:r w:rsidR="00581B83">
        <w:rPr>
          <w:bCs/>
        </w:rPr>
        <w:t xml:space="preserve"> and to </w:t>
      </w:r>
      <w:r w:rsidR="00DF7A2B">
        <w:rPr>
          <w:bCs/>
        </w:rPr>
        <w:t xml:space="preserve">protect adults </w:t>
      </w:r>
      <w:r w:rsidR="003C2C25">
        <w:rPr>
          <w:bCs/>
        </w:rPr>
        <w:t>from abuse and neglect.</w:t>
      </w:r>
      <w:r w:rsidR="00AA6961">
        <w:rPr>
          <w:bCs/>
        </w:rPr>
        <w:t xml:space="preserve"> </w:t>
      </w:r>
      <w:r w:rsidR="00BB6394">
        <w:rPr>
          <w:bCs/>
        </w:rPr>
        <w:t>S</w:t>
      </w:r>
      <w:r w:rsidR="00AA6961">
        <w:rPr>
          <w:bCs/>
        </w:rPr>
        <w:t xml:space="preserve">ection 42 (Care Act 2014) </w:t>
      </w:r>
      <w:r w:rsidR="00BF054A">
        <w:rPr>
          <w:bCs/>
        </w:rPr>
        <w:t xml:space="preserve">applies </w:t>
      </w:r>
      <w:r w:rsidR="00BB6394">
        <w:rPr>
          <w:bCs/>
        </w:rPr>
        <w:t>where</w:t>
      </w:r>
      <w:r w:rsidR="00114989">
        <w:rPr>
          <w:bCs/>
        </w:rPr>
        <w:t xml:space="preserve"> there is </w:t>
      </w:r>
      <w:r w:rsidR="0042555D">
        <w:rPr>
          <w:bCs/>
        </w:rPr>
        <w:t>“</w:t>
      </w:r>
      <w:r w:rsidR="004B54DB">
        <w:rPr>
          <w:bCs/>
        </w:rPr>
        <w:t>…</w:t>
      </w:r>
      <w:r w:rsidR="00114989">
        <w:rPr>
          <w:bCs/>
        </w:rPr>
        <w:t>reasonable cause to suspect that</w:t>
      </w:r>
      <w:r w:rsidR="00AB44EC">
        <w:rPr>
          <w:bCs/>
        </w:rPr>
        <w:t xml:space="preserve"> an adult</w:t>
      </w:r>
      <w:r w:rsidR="0042555D">
        <w:rPr>
          <w:bCs/>
        </w:rPr>
        <w:t xml:space="preserve"> in its area</w:t>
      </w:r>
      <w:r w:rsidR="00AB44EC">
        <w:rPr>
          <w:bCs/>
        </w:rPr>
        <w:t>:</w:t>
      </w:r>
    </w:p>
    <w:p w14:paraId="209BD7BA" w14:textId="77777777" w:rsidR="00462536" w:rsidRDefault="00462536" w:rsidP="002E2BE2">
      <w:pPr>
        <w:rPr>
          <w:bCs/>
        </w:rPr>
      </w:pPr>
    </w:p>
    <w:p w14:paraId="25042E5F" w14:textId="10C13D01" w:rsidR="00375228" w:rsidRPr="00A951B4" w:rsidRDefault="00B077DF" w:rsidP="00A951B4">
      <w:pPr>
        <w:pStyle w:val="ListParagraph"/>
        <w:numPr>
          <w:ilvl w:val="0"/>
          <w:numId w:val="22"/>
        </w:numPr>
        <w:rPr>
          <w:bCs/>
        </w:rPr>
      </w:pPr>
      <w:r>
        <w:rPr>
          <w:bCs/>
        </w:rPr>
        <w:t>h</w:t>
      </w:r>
      <w:r w:rsidR="00AE6713" w:rsidRPr="00A951B4">
        <w:rPr>
          <w:bCs/>
        </w:rPr>
        <w:t>as needs for care and support</w:t>
      </w:r>
      <w:r>
        <w:rPr>
          <w:bCs/>
        </w:rPr>
        <w:t xml:space="preserve"> </w:t>
      </w:r>
      <w:r w:rsidRPr="00B077DF">
        <w:rPr>
          <w:bCs/>
        </w:rPr>
        <w:t>(whether or not the authority is meeting any of those needs),</w:t>
      </w:r>
    </w:p>
    <w:p w14:paraId="3FF91E56" w14:textId="6B556650" w:rsidR="00AE6713" w:rsidRDefault="00B077DF" w:rsidP="00375228">
      <w:pPr>
        <w:pStyle w:val="ListParagraph"/>
        <w:numPr>
          <w:ilvl w:val="0"/>
          <w:numId w:val="22"/>
        </w:numPr>
        <w:rPr>
          <w:bCs/>
        </w:rPr>
      </w:pPr>
      <w:r>
        <w:rPr>
          <w:bCs/>
        </w:rPr>
        <w:t>i</w:t>
      </w:r>
      <w:r w:rsidR="00AE6713">
        <w:rPr>
          <w:bCs/>
        </w:rPr>
        <w:t>s experiencing, or at risk of abuse or neglect</w:t>
      </w:r>
      <w:r>
        <w:rPr>
          <w:bCs/>
        </w:rPr>
        <w:t>,</w:t>
      </w:r>
      <w:r w:rsidR="00AB44EC">
        <w:rPr>
          <w:bCs/>
        </w:rPr>
        <w:t xml:space="preserve"> and</w:t>
      </w:r>
    </w:p>
    <w:p w14:paraId="35851C38" w14:textId="36CBB36D" w:rsidR="004F31B7" w:rsidRPr="004B54DB" w:rsidRDefault="00B077DF" w:rsidP="004B54DB">
      <w:pPr>
        <w:pStyle w:val="ListParagraph"/>
        <w:numPr>
          <w:ilvl w:val="0"/>
          <w:numId w:val="22"/>
        </w:numPr>
        <w:rPr>
          <w:bCs/>
        </w:rPr>
      </w:pPr>
      <w:r>
        <w:rPr>
          <w:bCs/>
        </w:rPr>
        <w:t>a</w:t>
      </w:r>
      <w:r w:rsidR="004F31B7">
        <w:rPr>
          <w:bCs/>
        </w:rPr>
        <w:t xml:space="preserve">s a result of </w:t>
      </w:r>
      <w:r w:rsidR="00AB44EC">
        <w:rPr>
          <w:bCs/>
        </w:rPr>
        <w:t>those</w:t>
      </w:r>
      <w:r w:rsidR="004F31B7">
        <w:rPr>
          <w:bCs/>
        </w:rPr>
        <w:t xml:space="preserve"> needs </w:t>
      </w:r>
      <w:r w:rsidR="00AB44EC">
        <w:rPr>
          <w:bCs/>
        </w:rPr>
        <w:t xml:space="preserve">is </w:t>
      </w:r>
      <w:r w:rsidR="004F31B7">
        <w:rPr>
          <w:bCs/>
        </w:rPr>
        <w:t xml:space="preserve">unable to protect </w:t>
      </w:r>
      <w:r w:rsidR="00AB44EC">
        <w:rPr>
          <w:bCs/>
        </w:rPr>
        <w:t xml:space="preserve">himself or herself </w:t>
      </w:r>
      <w:r w:rsidR="004F31B7">
        <w:rPr>
          <w:bCs/>
        </w:rPr>
        <w:t>against the abuse or neglect</w:t>
      </w:r>
      <w:r w:rsidR="0042555D">
        <w:rPr>
          <w:bCs/>
        </w:rPr>
        <w:t xml:space="preserve"> or the risk of it</w:t>
      </w:r>
      <w:r>
        <w:rPr>
          <w:bCs/>
        </w:rPr>
        <w:t>.”</w:t>
      </w:r>
      <w:r w:rsidR="004B54DB">
        <w:rPr>
          <w:bCs/>
        </w:rPr>
        <w:t xml:space="preserve"> </w:t>
      </w:r>
      <w:r w:rsidR="004F31B7" w:rsidRPr="004B54DB">
        <w:rPr>
          <w:bCs/>
        </w:rPr>
        <w:t>Section 42 (Care Act 2014)</w:t>
      </w:r>
    </w:p>
    <w:p w14:paraId="77E0094A" w14:textId="77777777" w:rsidR="002E2BE2" w:rsidRDefault="002E2BE2" w:rsidP="002E2BE2">
      <w:pPr>
        <w:rPr>
          <w:bCs/>
        </w:rPr>
      </w:pPr>
    </w:p>
    <w:p w14:paraId="7838B8FE" w14:textId="77777777" w:rsidR="00B62B65" w:rsidRDefault="005E13A6" w:rsidP="002E2BE2">
      <w:pPr>
        <w:rPr>
          <w:bCs/>
        </w:rPr>
      </w:pPr>
      <w:r>
        <w:rPr>
          <w:bCs/>
        </w:rPr>
        <w:t xml:space="preserve">In Salford </w:t>
      </w:r>
      <w:r w:rsidR="00360E48">
        <w:rPr>
          <w:bCs/>
        </w:rPr>
        <w:t>the lead agency for statutory safeguarding</w:t>
      </w:r>
      <w:r>
        <w:rPr>
          <w:bCs/>
        </w:rPr>
        <w:t xml:space="preserve"> is the </w:t>
      </w:r>
      <w:r w:rsidR="007D31FE">
        <w:rPr>
          <w:bCs/>
        </w:rPr>
        <w:t>Local Authority</w:t>
      </w:r>
      <w:r>
        <w:rPr>
          <w:bCs/>
        </w:rPr>
        <w:t xml:space="preserve"> in partnership with Northern Care Alliance </w:t>
      </w:r>
      <w:r w:rsidR="00867CCD">
        <w:rPr>
          <w:bCs/>
        </w:rPr>
        <w:t xml:space="preserve">Adult Social Care </w:t>
      </w:r>
      <w:r w:rsidR="008277DD">
        <w:rPr>
          <w:bCs/>
        </w:rPr>
        <w:t xml:space="preserve">Division. Adult Social Care </w:t>
      </w:r>
      <w:r w:rsidR="00867CCD">
        <w:rPr>
          <w:bCs/>
        </w:rPr>
        <w:t>are responsible for receiving safeguarding concerns and making decisions about whether to cause, or make, an enquiry into the adult’s experience or abuse or neglect</w:t>
      </w:r>
      <w:r w:rsidR="007B5091">
        <w:rPr>
          <w:bCs/>
        </w:rPr>
        <w:t xml:space="preserve">. </w:t>
      </w:r>
    </w:p>
    <w:p w14:paraId="759E43BA" w14:textId="77777777" w:rsidR="00B62B65" w:rsidRDefault="00B62B65" w:rsidP="002E2BE2">
      <w:pPr>
        <w:rPr>
          <w:bCs/>
        </w:rPr>
      </w:pPr>
    </w:p>
    <w:p w14:paraId="0788804C" w14:textId="7ABE67BA" w:rsidR="00601196" w:rsidRDefault="007B5091" w:rsidP="002E2BE2">
      <w:pPr>
        <w:rPr>
          <w:bCs/>
        </w:rPr>
      </w:pPr>
      <w:r>
        <w:rPr>
          <w:bCs/>
        </w:rPr>
        <w:t xml:space="preserve">The Care Act does not set out statutory timescales for decisions or actions, but </w:t>
      </w:r>
      <w:r w:rsidR="00D52765">
        <w:rPr>
          <w:bCs/>
        </w:rPr>
        <w:t xml:space="preserve">states that </w:t>
      </w:r>
      <w:r>
        <w:rPr>
          <w:bCs/>
        </w:rPr>
        <w:t xml:space="preserve">decisions and actions </w:t>
      </w:r>
      <w:r w:rsidR="00D52765">
        <w:rPr>
          <w:bCs/>
        </w:rPr>
        <w:t xml:space="preserve">should be made in a </w:t>
      </w:r>
      <w:r w:rsidR="00D52765" w:rsidRPr="00886809">
        <w:rPr>
          <w:bCs/>
          <w:i/>
          <w:iCs/>
        </w:rPr>
        <w:t>timely and proportionate way</w:t>
      </w:r>
      <w:r w:rsidR="00D52765">
        <w:rPr>
          <w:bCs/>
        </w:rPr>
        <w:t>, based upon the presenting circumstances.</w:t>
      </w:r>
      <w:r w:rsidR="005C4A45">
        <w:rPr>
          <w:bCs/>
        </w:rPr>
        <w:t xml:space="preserve"> </w:t>
      </w:r>
      <w:r w:rsidR="00890D51">
        <w:rPr>
          <w:bCs/>
        </w:rPr>
        <w:t>Timeliness is important w</w:t>
      </w:r>
      <w:r w:rsidR="00B10CBE">
        <w:rPr>
          <w:bCs/>
        </w:rPr>
        <w:t>hen working with individuals who have a mistrust of services</w:t>
      </w:r>
      <w:r w:rsidR="00890D51">
        <w:rPr>
          <w:bCs/>
        </w:rPr>
        <w:t xml:space="preserve"> </w:t>
      </w:r>
      <w:r w:rsidR="00B325A1">
        <w:rPr>
          <w:bCs/>
        </w:rPr>
        <w:t xml:space="preserve">where there may be a limited </w:t>
      </w:r>
      <w:r w:rsidR="00EA106A">
        <w:rPr>
          <w:bCs/>
        </w:rPr>
        <w:t xml:space="preserve">window of opportunity to engage and </w:t>
      </w:r>
      <w:r w:rsidR="005C4A45">
        <w:rPr>
          <w:bCs/>
        </w:rPr>
        <w:t>instil</w:t>
      </w:r>
      <w:r w:rsidR="00EA106A">
        <w:rPr>
          <w:bCs/>
        </w:rPr>
        <w:t xml:space="preserve"> confidence.</w:t>
      </w:r>
      <w:r w:rsidR="003054C5">
        <w:rPr>
          <w:bCs/>
        </w:rPr>
        <w:t xml:space="preserve"> </w:t>
      </w:r>
    </w:p>
    <w:p w14:paraId="68D15F9B" w14:textId="4D6472E0" w:rsidR="002E2BE2" w:rsidRPr="00FE33D8" w:rsidRDefault="002E2BE2" w:rsidP="002E2BE2">
      <w:pPr>
        <w:rPr>
          <w:b/>
        </w:rPr>
      </w:pPr>
    </w:p>
    <w:p w14:paraId="0C20B378" w14:textId="77777777" w:rsidR="002E2BE2" w:rsidRPr="00FE33D8" w:rsidRDefault="002E2BE2" w:rsidP="002E2BE2">
      <w:pPr>
        <w:rPr>
          <w:b/>
        </w:rPr>
      </w:pPr>
      <w:r w:rsidRPr="00FE33D8">
        <w:rPr>
          <w:b/>
        </w:rPr>
        <w:t>Findings</w:t>
      </w:r>
    </w:p>
    <w:p w14:paraId="67C8346A" w14:textId="77777777" w:rsidR="004D1458" w:rsidRDefault="004D1458" w:rsidP="002E2BE2">
      <w:pPr>
        <w:rPr>
          <w:bCs/>
        </w:rPr>
      </w:pPr>
    </w:p>
    <w:p w14:paraId="2FB22FE5" w14:textId="77777777" w:rsidR="004D1458" w:rsidRDefault="004D1458" w:rsidP="002E2BE2">
      <w:pPr>
        <w:rPr>
          <w:bCs/>
          <w:i/>
          <w:iCs/>
        </w:rPr>
      </w:pPr>
      <w:r>
        <w:rPr>
          <w:bCs/>
          <w:i/>
          <w:iCs/>
        </w:rPr>
        <w:t>Responding to medical self-neglect</w:t>
      </w:r>
    </w:p>
    <w:p w14:paraId="529F5F9A" w14:textId="77777777" w:rsidR="00B62B65" w:rsidRDefault="00B62B65" w:rsidP="002E2BE2">
      <w:pPr>
        <w:rPr>
          <w:bCs/>
          <w:i/>
          <w:iCs/>
        </w:rPr>
      </w:pPr>
    </w:p>
    <w:p w14:paraId="429E3923" w14:textId="19965929" w:rsidR="00232534" w:rsidRDefault="00563C51" w:rsidP="00AA6961">
      <w:pPr>
        <w:rPr>
          <w:bCs/>
        </w:rPr>
      </w:pPr>
      <w:r>
        <w:rPr>
          <w:bCs/>
        </w:rPr>
        <w:t>Francis’</w:t>
      </w:r>
      <w:r w:rsidR="00C763F3">
        <w:rPr>
          <w:bCs/>
        </w:rPr>
        <w:t xml:space="preserve"> vulnerabilities and </w:t>
      </w:r>
      <w:r w:rsidR="008E7DE8">
        <w:rPr>
          <w:bCs/>
        </w:rPr>
        <w:t xml:space="preserve">experiences </w:t>
      </w:r>
      <w:r w:rsidR="00DD73F3">
        <w:rPr>
          <w:bCs/>
        </w:rPr>
        <w:t>of harm as a result</w:t>
      </w:r>
      <w:r w:rsidR="008E7DE8">
        <w:rPr>
          <w:bCs/>
        </w:rPr>
        <w:t xml:space="preserve"> alcohol-related epilepsy were </w:t>
      </w:r>
      <w:r w:rsidR="00950E65">
        <w:rPr>
          <w:bCs/>
        </w:rPr>
        <w:t>the subject of a specific referral to safeguarding</w:t>
      </w:r>
      <w:r w:rsidR="005A7BF8">
        <w:rPr>
          <w:bCs/>
        </w:rPr>
        <w:t xml:space="preserve"> in July 2022</w:t>
      </w:r>
      <w:r w:rsidR="008E7DE8">
        <w:rPr>
          <w:bCs/>
        </w:rPr>
        <w:t xml:space="preserve">. </w:t>
      </w:r>
      <w:r w:rsidR="00950E65">
        <w:rPr>
          <w:bCs/>
        </w:rPr>
        <w:t xml:space="preserve">The referral </w:t>
      </w:r>
      <w:r w:rsidR="0017416C">
        <w:rPr>
          <w:bCs/>
        </w:rPr>
        <w:t xml:space="preserve">was processed on the day and information was gathered by a duty worker. </w:t>
      </w:r>
      <w:r w:rsidR="00950E65">
        <w:rPr>
          <w:bCs/>
        </w:rPr>
        <w:t>A</w:t>
      </w:r>
      <w:r w:rsidR="00234724">
        <w:rPr>
          <w:bCs/>
        </w:rPr>
        <w:t xml:space="preserve"> plan was </w:t>
      </w:r>
      <w:r w:rsidR="0026137F">
        <w:rPr>
          <w:bCs/>
        </w:rPr>
        <w:t xml:space="preserve">made to </w:t>
      </w:r>
      <w:r w:rsidR="00234724">
        <w:rPr>
          <w:bCs/>
        </w:rPr>
        <w:t>allocat</w:t>
      </w:r>
      <w:r w:rsidR="0026137F">
        <w:rPr>
          <w:bCs/>
        </w:rPr>
        <w:t>e</w:t>
      </w:r>
      <w:r w:rsidR="00234724">
        <w:rPr>
          <w:bCs/>
        </w:rPr>
        <w:t xml:space="preserve"> a Social Worker to conduct a visit to </w:t>
      </w:r>
      <w:r>
        <w:rPr>
          <w:bCs/>
        </w:rPr>
        <w:t>Francis</w:t>
      </w:r>
      <w:r w:rsidR="00234724">
        <w:rPr>
          <w:bCs/>
        </w:rPr>
        <w:t xml:space="preserve"> to make a decision about whether a section 42 enquiry was necessary</w:t>
      </w:r>
      <w:r w:rsidR="0026137F">
        <w:rPr>
          <w:bCs/>
        </w:rPr>
        <w:t>. U</w:t>
      </w:r>
      <w:r w:rsidR="00234724">
        <w:rPr>
          <w:bCs/>
        </w:rPr>
        <w:t xml:space="preserve">nfortunately this did not occur </w:t>
      </w:r>
      <w:r w:rsidR="00AB12C3">
        <w:rPr>
          <w:bCs/>
        </w:rPr>
        <w:t xml:space="preserve">until </w:t>
      </w:r>
      <w:r w:rsidR="007172E7">
        <w:rPr>
          <w:bCs/>
        </w:rPr>
        <w:t>over 6 weeks later</w:t>
      </w:r>
      <w:r w:rsidR="004B7F22">
        <w:rPr>
          <w:bCs/>
        </w:rPr>
        <w:t>,</w:t>
      </w:r>
      <w:r w:rsidR="00B57430">
        <w:rPr>
          <w:bCs/>
        </w:rPr>
        <w:t xml:space="preserve"> with a planned </w:t>
      </w:r>
      <w:r w:rsidR="004B7F22">
        <w:rPr>
          <w:bCs/>
        </w:rPr>
        <w:t xml:space="preserve">further </w:t>
      </w:r>
      <w:r w:rsidR="00B57430">
        <w:rPr>
          <w:bCs/>
        </w:rPr>
        <w:t>follow up 10 days later</w:t>
      </w:r>
      <w:r w:rsidR="00BA4C5B">
        <w:rPr>
          <w:bCs/>
        </w:rPr>
        <w:t xml:space="preserve"> about which there is no record</w:t>
      </w:r>
      <w:r w:rsidR="00B57430">
        <w:rPr>
          <w:bCs/>
        </w:rPr>
        <w:t>.</w:t>
      </w:r>
      <w:r w:rsidR="00524BFD">
        <w:rPr>
          <w:bCs/>
        </w:rPr>
        <w:t xml:space="preserve"> </w:t>
      </w:r>
      <w:r w:rsidR="004D1458">
        <w:rPr>
          <w:bCs/>
        </w:rPr>
        <w:t xml:space="preserve">The delay and lack of follow up on </w:t>
      </w:r>
      <w:r w:rsidR="008C3CB1">
        <w:rPr>
          <w:bCs/>
        </w:rPr>
        <w:t>these</w:t>
      </w:r>
      <w:r w:rsidR="004D1458">
        <w:rPr>
          <w:bCs/>
        </w:rPr>
        <w:t xml:space="preserve"> </w:t>
      </w:r>
      <w:r w:rsidR="00213B96">
        <w:rPr>
          <w:bCs/>
        </w:rPr>
        <w:t>concerns</w:t>
      </w:r>
      <w:r w:rsidR="004D1458">
        <w:rPr>
          <w:bCs/>
        </w:rPr>
        <w:t xml:space="preserve"> were attributed to staffing pressures </w:t>
      </w:r>
      <w:r w:rsidR="008264A0">
        <w:rPr>
          <w:bCs/>
        </w:rPr>
        <w:t xml:space="preserve">in the team at the time, </w:t>
      </w:r>
      <w:r w:rsidR="00025375">
        <w:rPr>
          <w:bCs/>
        </w:rPr>
        <w:t xml:space="preserve">compounded by a decision that </w:t>
      </w:r>
      <w:r>
        <w:rPr>
          <w:bCs/>
        </w:rPr>
        <w:t>Francis</w:t>
      </w:r>
      <w:r w:rsidR="002C73CB">
        <w:rPr>
          <w:bCs/>
        </w:rPr>
        <w:t xml:space="preserve"> required a male worker due to </w:t>
      </w:r>
      <w:r w:rsidR="003E20E5">
        <w:rPr>
          <w:bCs/>
        </w:rPr>
        <w:t xml:space="preserve">the </w:t>
      </w:r>
      <w:r w:rsidR="002C73CB">
        <w:rPr>
          <w:bCs/>
        </w:rPr>
        <w:t xml:space="preserve">known risks to </w:t>
      </w:r>
      <w:r w:rsidR="00025375">
        <w:rPr>
          <w:bCs/>
        </w:rPr>
        <w:t>female staff</w:t>
      </w:r>
      <w:r w:rsidR="00430DF1">
        <w:rPr>
          <w:bCs/>
        </w:rPr>
        <w:t>.</w:t>
      </w:r>
    </w:p>
    <w:p w14:paraId="4BB821C5" w14:textId="77777777" w:rsidR="00AA6961" w:rsidRPr="00AA6961" w:rsidRDefault="00AA6961" w:rsidP="00AA6961">
      <w:pPr>
        <w:rPr>
          <w:bCs/>
        </w:rPr>
      </w:pPr>
    </w:p>
    <w:p w14:paraId="1A90C40D" w14:textId="4759299D" w:rsidR="003E20E5" w:rsidRPr="003E20E5" w:rsidRDefault="003E20E5" w:rsidP="002E2BE2">
      <w:pPr>
        <w:rPr>
          <w:bCs/>
          <w:i/>
          <w:iCs/>
        </w:rPr>
      </w:pPr>
      <w:r>
        <w:rPr>
          <w:bCs/>
          <w:i/>
          <w:iCs/>
        </w:rPr>
        <w:t>Responding to allegations of financial abuse and exploitation</w:t>
      </w:r>
    </w:p>
    <w:p w14:paraId="2F8F1533" w14:textId="77777777" w:rsidR="00B62B65" w:rsidRDefault="00B62B65" w:rsidP="002E2BE2">
      <w:pPr>
        <w:rPr>
          <w:bCs/>
        </w:rPr>
      </w:pPr>
    </w:p>
    <w:p w14:paraId="072750B4" w14:textId="0ADE4F2B" w:rsidR="002B4201" w:rsidRDefault="005A7BF8" w:rsidP="002B4201">
      <w:pPr>
        <w:rPr>
          <w:bCs/>
        </w:rPr>
      </w:pPr>
      <w:r>
        <w:rPr>
          <w:bCs/>
        </w:rPr>
        <w:t xml:space="preserve">In </w:t>
      </w:r>
      <w:r w:rsidR="003E20E5">
        <w:rPr>
          <w:bCs/>
        </w:rPr>
        <w:t xml:space="preserve">October 2022 </w:t>
      </w:r>
      <w:r w:rsidR="00563C51">
        <w:rPr>
          <w:bCs/>
        </w:rPr>
        <w:t>Francis</w:t>
      </w:r>
      <w:r w:rsidR="00820E05">
        <w:rPr>
          <w:bCs/>
        </w:rPr>
        <w:t xml:space="preserve"> reported to his GP practice that his medication, mobile phone, and </w:t>
      </w:r>
      <w:r w:rsidR="007D2481">
        <w:rPr>
          <w:bCs/>
        </w:rPr>
        <w:t xml:space="preserve">television set had been stolen. </w:t>
      </w:r>
      <w:r>
        <w:rPr>
          <w:bCs/>
        </w:rPr>
        <w:t xml:space="preserve">Again, the </w:t>
      </w:r>
      <w:r w:rsidR="002B4201">
        <w:rPr>
          <w:bCs/>
        </w:rPr>
        <w:t xml:space="preserve">referral was processed on the same day and a duty worker allocated to </w:t>
      </w:r>
      <w:r>
        <w:rPr>
          <w:bCs/>
        </w:rPr>
        <w:t xml:space="preserve">conduct </w:t>
      </w:r>
      <w:r w:rsidR="002B4201">
        <w:rPr>
          <w:bCs/>
        </w:rPr>
        <w:t xml:space="preserve">a </w:t>
      </w:r>
      <w:r w:rsidR="005A3592">
        <w:rPr>
          <w:bCs/>
        </w:rPr>
        <w:t xml:space="preserve">home visit. </w:t>
      </w:r>
      <w:r w:rsidR="006464E0">
        <w:rPr>
          <w:bCs/>
        </w:rPr>
        <w:t>On a</w:t>
      </w:r>
      <w:r w:rsidR="005A3592">
        <w:rPr>
          <w:bCs/>
        </w:rPr>
        <w:t xml:space="preserve">rriving at his address </w:t>
      </w:r>
      <w:r w:rsidR="006464E0">
        <w:rPr>
          <w:bCs/>
        </w:rPr>
        <w:t xml:space="preserve">the ASC duty worker noted that </w:t>
      </w:r>
      <w:r w:rsidR="00563C51">
        <w:rPr>
          <w:bCs/>
        </w:rPr>
        <w:t>Francis’</w:t>
      </w:r>
      <w:r w:rsidR="005853D8">
        <w:rPr>
          <w:bCs/>
        </w:rPr>
        <w:t xml:space="preserve"> front door was open and </w:t>
      </w:r>
      <w:r w:rsidR="00563C51">
        <w:rPr>
          <w:bCs/>
        </w:rPr>
        <w:t>Francis</w:t>
      </w:r>
      <w:r w:rsidR="005853D8">
        <w:rPr>
          <w:bCs/>
        </w:rPr>
        <w:t xml:space="preserve"> himself was found breathing abnormally and unresponsive. </w:t>
      </w:r>
      <w:r w:rsidR="001C418C">
        <w:rPr>
          <w:bCs/>
        </w:rPr>
        <w:t xml:space="preserve">Paramedics were called and treatment offered. </w:t>
      </w:r>
      <w:r w:rsidR="00671A6F">
        <w:rPr>
          <w:bCs/>
        </w:rPr>
        <w:t xml:space="preserve">Once he had recovered sufficiently, practitioners talked to </w:t>
      </w:r>
      <w:r w:rsidR="00563C51">
        <w:rPr>
          <w:bCs/>
        </w:rPr>
        <w:t>Francis</w:t>
      </w:r>
      <w:r w:rsidR="00671A6F">
        <w:rPr>
          <w:bCs/>
        </w:rPr>
        <w:t xml:space="preserve"> about his general </w:t>
      </w:r>
      <w:r w:rsidR="00BF1FA6">
        <w:rPr>
          <w:bCs/>
        </w:rPr>
        <w:t xml:space="preserve">health and </w:t>
      </w:r>
      <w:r w:rsidR="00671A6F">
        <w:rPr>
          <w:bCs/>
        </w:rPr>
        <w:t xml:space="preserve">his </w:t>
      </w:r>
      <w:r w:rsidR="00BF1FA6">
        <w:rPr>
          <w:bCs/>
        </w:rPr>
        <w:t>collapse – including issues of medication compliance,</w:t>
      </w:r>
      <w:r w:rsidR="008E14F1">
        <w:rPr>
          <w:bCs/>
        </w:rPr>
        <w:t xml:space="preserve"> and diet and nutrition. A</w:t>
      </w:r>
      <w:r w:rsidR="00F42549">
        <w:rPr>
          <w:bCs/>
        </w:rPr>
        <w:t>n</w:t>
      </w:r>
      <w:r w:rsidR="00BF1FA6">
        <w:rPr>
          <w:bCs/>
        </w:rPr>
        <w:t xml:space="preserve"> </w:t>
      </w:r>
      <w:r w:rsidR="007A34A9">
        <w:rPr>
          <w:bCs/>
        </w:rPr>
        <w:t xml:space="preserve">offer </w:t>
      </w:r>
      <w:r w:rsidR="008E14F1">
        <w:rPr>
          <w:bCs/>
        </w:rPr>
        <w:t xml:space="preserve">of </w:t>
      </w:r>
      <w:r w:rsidR="007A34A9">
        <w:rPr>
          <w:bCs/>
        </w:rPr>
        <w:t xml:space="preserve">a package of care </w:t>
      </w:r>
      <w:r w:rsidR="008E14F1">
        <w:rPr>
          <w:bCs/>
        </w:rPr>
        <w:t xml:space="preserve">was made, </w:t>
      </w:r>
      <w:r w:rsidR="007A34A9">
        <w:rPr>
          <w:bCs/>
        </w:rPr>
        <w:t xml:space="preserve">to support </w:t>
      </w:r>
      <w:r w:rsidR="008E14F1">
        <w:rPr>
          <w:bCs/>
        </w:rPr>
        <w:t xml:space="preserve">him </w:t>
      </w:r>
      <w:r w:rsidR="007A34A9">
        <w:rPr>
          <w:bCs/>
        </w:rPr>
        <w:t xml:space="preserve">with </w:t>
      </w:r>
      <w:r w:rsidR="008E14F1">
        <w:rPr>
          <w:bCs/>
        </w:rPr>
        <w:t>“</w:t>
      </w:r>
      <w:r w:rsidR="007A34A9">
        <w:rPr>
          <w:bCs/>
        </w:rPr>
        <w:t>medication, nutrition, and staying safe</w:t>
      </w:r>
      <w:r w:rsidR="008E14F1">
        <w:rPr>
          <w:bCs/>
        </w:rPr>
        <w:t>”</w:t>
      </w:r>
      <w:r w:rsidR="007A34A9">
        <w:rPr>
          <w:bCs/>
        </w:rPr>
        <w:t xml:space="preserve">. </w:t>
      </w:r>
      <w:r w:rsidR="006C64EF">
        <w:rPr>
          <w:bCs/>
        </w:rPr>
        <w:t xml:space="preserve">Support needs to maintain a clean home environment were also identified. </w:t>
      </w:r>
      <w:r w:rsidR="007A34A9">
        <w:rPr>
          <w:bCs/>
        </w:rPr>
        <w:t>To address his vulnerability to exploitation and prevent further theft of his medication, a plan was made to change the locks to his property.</w:t>
      </w:r>
    </w:p>
    <w:p w14:paraId="31551394" w14:textId="77777777" w:rsidR="002B4201" w:rsidRDefault="002B4201" w:rsidP="002B4201">
      <w:pPr>
        <w:rPr>
          <w:bCs/>
        </w:rPr>
      </w:pPr>
    </w:p>
    <w:p w14:paraId="3C9477F6" w14:textId="7D27E7CF" w:rsidR="009D76A8" w:rsidRPr="009D76A8" w:rsidRDefault="009D76A8" w:rsidP="002B4201">
      <w:pPr>
        <w:rPr>
          <w:bCs/>
          <w:i/>
          <w:iCs/>
        </w:rPr>
      </w:pPr>
      <w:r>
        <w:rPr>
          <w:bCs/>
          <w:i/>
          <w:iCs/>
        </w:rPr>
        <w:t>Safeguarding protection planning</w:t>
      </w:r>
    </w:p>
    <w:p w14:paraId="7DDF1319" w14:textId="77777777" w:rsidR="00B62B65" w:rsidRDefault="00B62B65" w:rsidP="002B4201">
      <w:pPr>
        <w:rPr>
          <w:bCs/>
        </w:rPr>
      </w:pPr>
    </w:p>
    <w:p w14:paraId="249F088D" w14:textId="07CCFFD8" w:rsidR="00B62B65" w:rsidRDefault="00C07DAD" w:rsidP="000E5BC3">
      <w:pPr>
        <w:rPr>
          <w:bCs/>
        </w:rPr>
      </w:pPr>
      <w:r>
        <w:rPr>
          <w:bCs/>
        </w:rPr>
        <w:t>I</w:t>
      </w:r>
      <w:r w:rsidR="000F2C59">
        <w:rPr>
          <w:bCs/>
        </w:rPr>
        <w:t>n October</w:t>
      </w:r>
      <w:r>
        <w:rPr>
          <w:bCs/>
        </w:rPr>
        <w:t>, while</w:t>
      </w:r>
      <w:r w:rsidR="000F2C59">
        <w:rPr>
          <w:bCs/>
        </w:rPr>
        <w:t xml:space="preserve"> </w:t>
      </w:r>
      <w:r w:rsidR="002B3856">
        <w:rPr>
          <w:bCs/>
        </w:rPr>
        <w:t xml:space="preserve">the initial response was swift, </w:t>
      </w:r>
      <w:r w:rsidR="002A560D">
        <w:rPr>
          <w:bCs/>
        </w:rPr>
        <w:t xml:space="preserve">the </w:t>
      </w:r>
      <w:r w:rsidR="002B3856">
        <w:rPr>
          <w:bCs/>
        </w:rPr>
        <w:t xml:space="preserve">plan to provide a package of care was </w:t>
      </w:r>
      <w:r w:rsidR="00D518B3">
        <w:rPr>
          <w:bCs/>
        </w:rPr>
        <w:t xml:space="preserve">never </w:t>
      </w:r>
      <w:r w:rsidR="002B3856">
        <w:rPr>
          <w:bCs/>
        </w:rPr>
        <w:t>enacted</w:t>
      </w:r>
      <w:r w:rsidR="00D518B3">
        <w:rPr>
          <w:bCs/>
        </w:rPr>
        <w:t xml:space="preserve"> as </w:t>
      </w:r>
      <w:r w:rsidR="00563C51">
        <w:rPr>
          <w:bCs/>
        </w:rPr>
        <w:t>Francis’</w:t>
      </w:r>
      <w:r w:rsidR="008D5319">
        <w:rPr>
          <w:bCs/>
        </w:rPr>
        <w:t xml:space="preserve"> final admission </w:t>
      </w:r>
      <w:r w:rsidR="00D518B3">
        <w:rPr>
          <w:bCs/>
        </w:rPr>
        <w:t xml:space="preserve">to hospital </w:t>
      </w:r>
      <w:r w:rsidR="008D5319">
        <w:rPr>
          <w:bCs/>
        </w:rPr>
        <w:t>occurred three weeks later. T</w:t>
      </w:r>
      <w:r w:rsidR="00430753">
        <w:rPr>
          <w:bCs/>
        </w:rPr>
        <w:t xml:space="preserve">he decision about whether to initiate an enquiry under section 42 (Care Act 2014) was deferred </w:t>
      </w:r>
      <w:r w:rsidR="00E7612B">
        <w:rPr>
          <w:bCs/>
        </w:rPr>
        <w:t xml:space="preserve">while “waiting for further information” and </w:t>
      </w:r>
      <w:r w:rsidR="008D5319">
        <w:rPr>
          <w:bCs/>
        </w:rPr>
        <w:t xml:space="preserve">for </w:t>
      </w:r>
      <w:r w:rsidR="00AA3BAD">
        <w:rPr>
          <w:bCs/>
        </w:rPr>
        <w:t xml:space="preserve">the outcome of a professionals meeting arranged for </w:t>
      </w:r>
      <w:r w:rsidR="00A826AC">
        <w:rPr>
          <w:bCs/>
        </w:rPr>
        <w:t>21 October</w:t>
      </w:r>
      <w:r w:rsidR="00953401">
        <w:rPr>
          <w:bCs/>
        </w:rPr>
        <w:t xml:space="preserve"> 2022</w:t>
      </w:r>
      <w:r w:rsidR="00A826AC">
        <w:rPr>
          <w:bCs/>
        </w:rPr>
        <w:t>.</w:t>
      </w:r>
      <w:r w:rsidR="005F2CE6">
        <w:rPr>
          <w:bCs/>
        </w:rPr>
        <w:t xml:space="preserve"> By this point the focus of risk management was on self-neglec</w:t>
      </w:r>
      <w:r w:rsidR="00633491">
        <w:rPr>
          <w:bCs/>
        </w:rPr>
        <w:t xml:space="preserve">t in the context of alcohol and seizure-related concerns and </w:t>
      </w:r>
      <w:r w:rsidR="00555C8C">
        <w:rPr>
          <w:bCs/>
        </w:rPr>
        <w:t xml:space="preserve">on the </w:t>
      </w:r>
      <w:r w:rsidR="00633491">
        <w:rPr>
          <w:bCs/>
        </w:rPr>
        <w:t>poor self-management of his physical health condition.</w:t>
      </w:r>
      <w:r w:rsidR="00582D48">
        <w:rPr>
          <w:bCs/>
        </w:rPr>
        <w:t xml:space="preserve"> </w:t>
      </w:r>
      <w:r w:rsidR="00E17EB9">
        <w:rPr>
          <w:bCs/>
        </w:rPr>
        <w:t>No further record or enquiry plan was made to address the report of medication theft or material abuse.</w:t>
      </w:r>
      <w:r w:rsidR="006F2EFA">
        <w:rPr>
          <w:bCs/>
        </w:rPr>
        <w:t xml:space="preserve"> </w:t>
      </w:r>
      <w:r w:rsidR="005F2CE6">
        <w:rPr>
          <w:bCs/>
        </w:rPr>
        <w:t xml:space="preserve">In lieu of a safeguarding process to manage </w:t>
      </w:r>
      <w:r w:rsidR="00582D48">
        <w:rPr>
          <w:bCs/>
        </w:rPr>
        <w:t xml:space="preserve">these </w:t>
      </w:r>
      <w:r w:rsidR="005F2CE6">
        <w:rPr>
          <w:bCs/>
        </w:rPr>
        <w:t>risks</w:t>
      </w:r>
      <w:r w:rsidR="00582D48">
        <w:rPr>
          <w:bCs/>
        </w:rPr>
        <w:t xml:space="preserve">, </w:t>
      </w:r>
      <w:r w:rsidR="006F2EFA">
        <w:rPr>
          <w:bCs/>
        </w:rPr>
        <w:t>practitioners</w:t>
      </w:r>
      <w:r w:rsidR="00582D48">
        <w:rPr>
          <w:bCs/>
        </w:rPr>
        <w:t xml:space="preserve"> met regularly through </w:t>
      </w:r>
      <w:r w:rsidR="006F2EFA">
        <w:rPr>
          <w:bCs/>
        </w:rPr>
        <w:t>‘</w:t>
      </w:r>
      <w:r w:rsidR="00582D48">
        <w:rPr>
          <w:bCs/>
        </w:rPr>
        <w:t>professionals meeting</w:t>
      </w:r>
      <w:r w:rsidR="005314DE">
        <w:rPr>
          <w:bCs/>
        </w:rPr>
        <w:t>s</w:t>
      </w:r>
      <w:r w:rsidR="006F2EFA">
        <w:rPr>
          <w:bCs/>
        </w:rPr>
        <w:t>’</w:t>
      </w:r>
      <w:r w:rsidR="003E615B">
        <w:rPr>
          <w:bCs/>
        </w:rPr>
        <w:t xml:space="preserve">, including actions to make </w:t>
      </w:r>
      <w:r w:rsidR="00C24B3A">
        <w:rPr>
          <w:bCs/>
        </w:rPr>
        <w:t>further referrals to safeguarding</w:t>
      </w:r>
      <w:r w:rsidR="00F25A61">
        <w:rPr>
          <w:bCs/>
        </w:rPr>
        <w:t xml:space="preserve">. </w:t>
      </w:r>
    </w:p>
    <w:p w14:paraId="0834FE91" w14:textId="77777777" w:rsidR="00B62B65" w:rsidRDefault="00B62B65" w:rsidP="000E5BC3">
      <w:pPr>
        <w:rPr>
          <w:bCs/>
        </w:rPr>
      </w:pPr>
    </w:p>
    <w:p w14:paraId="07108874" w14:textId="03C528A1" w:rsidR="003D2DDD" w:rsidRDefault="003D2DDD" w:rsidP="006C64EF">
      <w:pPr>
        <w:rPr>
          <w:bCs/>
        </w:rPr>
      </w:pPr>
      <w:r>
        <w:rPr>
          <w:bCs/>
        </w:rPr>
        <w:t>Delays in decision-making can have a significant impact on how a case is managed</w:t>
      </w:r>
      <w:r w:rsidR="00440131">
        <w:rPr>
          <w:bCs/>
        </w:rPr>
        <w:t>,</w:t>
      </w:r>
      <w:r w:rsidR="00D273D4">
        <w:rPr>
          <w:bCs/>
        </w:rPr>
        <w:t xml:space="preserve"> but importantly can</w:t>
      </w:r>
      <w:r w:rsidR="00440131">
        <w:rPr>
          <w:bCs/>
        </w:rPr>
        <w:t xml:space="preserve"> also</w:t>
      </w:r>
      <w:r w:rsidR="00D273D4">
        <w:rPr>
          <w:bCs/>
        </w:rPr>
        <w:t xml:space="preserve"> compromise the principle</w:t>
      </w:r>
      <w:r w:rsidR="00F25A61">
        <w:rPr>
          <w:bCs/>
        </w:rPr>
        <w:t>s</w:t>
      </w:r>
      <w:r w:rsidR="00D273D4">
        <w:rPr>
          <w:bCs/>
        </w:rPr>
        <w:t xml:space="preserve"> of </w:t>
      </w:r>
      <w:r w:rsidR="00F25A61">
        <w:rPr>
          <w:bCs/>
        </w:rPr>
        <w:t xml:space="preserve">making safeguarding personal and </w:t>
      </w:r>
      <w:r w:rsidR="00D273D4">
        <w:rPr>
          <w:bCs/>
        </w:rPr>
        <w:t xml:space="preserve">accountability. A lack of clarity on how agencies are going to manage risk means that an adult at risk </w:t>
      </w:r>
      <w:r w:rsidR="00C831A0">
        <w:rPr>
          <w:bCs/>
        </w:rPr>
        <w:t>does not know what role organisations are playing in their life</w:t>
      </w:r>
      <w:r w:rsidR="003E615B">
        <w:rPr>
          <w:bCs/>
        </w:rPr>
        <w:t xml:space="preserve">, resulting in a significant level of uncertainty: is the adult </w:t>
      </w:r>
      <w:r w:rsidR="00C831A0">
        <w:rPr>
          <w:bCs/>
        </w:rPr>
        <w:t>subject to a statutory enquiry</w:t>
      </w:r>
      <w:r w:rsidR="003E615B">
        <w:rPr>
          <w:bCs/>
        </w:rPr>
        <w:t>?</w:t>
      </w:r>
      <w:r w:rsidR="00C831A0">
        <w:rPr>
          <w:bCs/>
        </w:rPr>
        <w:t xml:space="preserve"> Are </w:t>
      </w:r>
      <w:r w:rsidR="003E615B">
        <w:rPr>
          <w:bCs/>
        </w:rPr>
        <w:t xml:space="preserve">other </w:t>
      </w:r>
      <w:r w:rsidR="00C831A0">
        <w:rPr>
          <w:bCs/>
        </w:rPr>
        <w:t xml:space="preserve">organisations investigating concerns about abuse or neglect? </w:t>
      </w:r>
      <w:r w:rsidR="008805F2">
        <w:rPr>
          <w:bCs/>
        </w:rPr>
        <w:t>What rights does an adult have, for example, for Advocacy</w:t>
      </w:r>
      <w:r w:rsidR="00357FE3">
        <w:rPr>
          <w:bCs/>
        </w:rPr>
        <w:t xml:space="preserve"> or support through an enquiry process?</w:t>
      </w:r>
    </w:p>
    <w:p w14:paraId="3ED3BBE7" w14:textId="330A56A8" w:rsidR="00B62B65" w:rsidRDefault="00B62B65">
      <w:pPr>
        <w:spacing w:after="160" w:line="259" w:lineRule="auto"/>
        <w:rPr>
          <w:bCs/>
        </w:rPr>
      </w:pPr>
      <w:r>
        <w:rPr>
          <w:bCs/>
        </w:rPr>
        <w:br w:type="page"/>
      </w:r>
    </w:p>
    <w:p w14:paraId="4031C474" w14:textId="77777777" w:rsidR="002E2BE2" w:rsidRDefault="002E2BE2" w:rsidP="002E2BE2">
      <w:pPr>
        <w:pStyle w:val="Findingtext"/>
      </w:pPr>
    </w:p>
    <w:p w14:paraId="504A7B38" w14:textId="6CE862C2" w:rsidR="002E2BE2" w:rsidRDefault="002E2BE2" w:rsidP="002E2BE2">
      <w:pPr>
        <w:pStyle w:val="FindingTitle"/>
      </w:pPr>
      <w:bookmarkStart w:id="26" w:name="_Toc165109323"/>
      <w:r>
        <w:t xml:space="preserve">Finding </w:t>
      </w:r>
      <w:r w:rsidR="00297F4A">
        <w:t>3</w:t>
      </w:r>
      <w:r>
        <w:t>: T</w:t>
      </w:r>
      <w:r w:rsidR="006A2FD3">
        <w:t>imeliness in decision-making</w:t>
      </w:r>
      <w:bookmarkEnd w:id="26"/>
    </w:p>
    <w:p w14:paraId="5465EE75" w14:textId="77777777" w:rsidR="002E2BE2" w:rsidRDefault="002E2BE2" w:rsidP="002E2BE2">
      <w:pPr>
        <w:pStyle w:val="Findingtext"/>
      </w:pPr>
    </w:p>
    <w:p w14:paraId="6579D38C" w14:textId="58CD2BE6" w:rsidR="002E2BE2" w:rsidRPr="007354B8" w:rsidRDefault="002E2BE2" w:rsidP="002E2BE2">
      <w:pPr>
        <w:pStyle w:val="Findingtext"/>
        <w:rPr>
          <w:b/>
          <w:bCs/>
        </w:rPr>
      </w:pPr>
      <w:r w:rsidRPr="007354B8">
        <w:rPr>
          <w:b/>
          <w:bCs/>
        </w:rPr>
        <w:t>Underlying issue</w:t>
      </w:r>
      <w:r w:rsidR="00D13B6C">
        <w:rPr>
          <w:b/>
          <w:bCs/>
        </w:rPr>
        <w:t xml:space="preserve"> </w:t>
      </w:r>
    </w:p>
    <w:p w14:paraId="0745E8F8" w14:textId="6250B07A" w:rsidR="002E2BE2" w:rsidRDefault="00563C51" w:rsidP="002E2BE2">
      <w:pPr>
        <w:pStyle w:val="Findingtext"/>
      </w:pPr>
      <w:r>
        <w:t>Francis’</w:t>
      </w:r>
      <w:r w:rsidR="007D69E4">
        <w:t xml:space="preserve"> case was referred to safeguarding </w:t>
      </w:r>
      <w:r w:rsidR="00867854">
        <w:t>d</w:t>
      </w:r>
      <w:r w:rsidR="007D69E4">
        <w:t xml:space="preserve">ue to </w:t>
      </w:r>
      <w:r w:rsidR="00A25D52">
        <w:t xml:space="preserve">reports from </w:t>
      </w:r>
      <w:r>
        <w:t>Francis</w:t>
      </w:r>
      <w:r w:rsidR="00A25D52">
        <w:t xml:space="preserve"> that his medication, mobile phone</w:t>
      </w:r>
      <w:r w:rsidR="0057765F">
        <w:t>,</w:t>
      </w:r>
      <w:r w:rsidR="00A25D52">
        <w:t xml:space="preserve"> and television set had been stolen, and professional </w:t>
      </w:r>
      <w:r w:rsidR="007D69E4">
        <w:t>concerns about self-neglect.</w:t>
      </w:r>
      <w:r w:rsidR="00FA538B">
        <w:t xml:space="preserve"> There were delays in response</w:t>
      </w:r>
      <w:r w:rsidR="00AF27F1">
        <w:t>, some due to resource and internal agency constraints, but others related to practice norms. C</w:t>
      </w:r>
      <w:r w:rsidR="00D3637B">
        <w:t xml:space="preserve">hoices </w:t>
      </w:r>
      <w:r w:rsidR="00AF27F1">
        <w:t xml:space="preserve">were made </w:t>
      </w:r>
      <w:r w:rsidR="00D3637B">
        <w:t xml:space="preserve">to </w:t>
      </w:r>
      <w:r w:rsidR="00D13B6C">
        <w:t>delay</w:t>
      </w:r>
      <w:r w:rsidR="00D3637B">
        <w:t xml:space="preserve"> </w:t>
      </w:r>
      <w:r w:rsidR="00D13B6C">
        <w:t>decision</w:t>
      </w:r>
      <w:r w:rsidR="00D3637B">
        <w:t xml:space="preserve">s </w:t>
      </w:r>
      <w:r w:rsidR="00AF27F1">
        <w:t>about launching section 42 enquiries</w:t>
      </w:r>
      <w:r w:rsidR="0057765F">
        <w:t xml:space="preserve">, </w:t>
      </w:r>
      <w:r w:rsidR="00D3637B">
        <w:t>in order</w:t>
      </w:r>
      <w:r w:rsidR="00D13B6C">
        <w:t xml:space="preserve"> to wait for </w:t>
      </w:r>
      <w:r w:rsidR="00D13B6C" w:rsidRPr="00D13B6C">
        <w:t xml:space="preserve">more information, or </w:t>
      </w:r>
      <w:r w:rsidR="0057765F">
        <w:t xml:space="preserve">for </w:t>
      </w:r>
      <w:r w:rsidR="00D13B6C" w:rsidRPr="00D13B6C">
        <w:t>the outcome of another</w:t>
      </w:r>
      <w:r w:rsidR="00D13B6C">
        <w:t xml:space="preserve"> process.</w:t>
      </w:r>
      <w:r w:rsidR="00740CA1">
        <w:t xml:space="preserve"> </w:t>
      </w:r>
      <w:r w:rsidR="0062554A">
        <w:t xml:space="preserve">Such delays can </w:t>
      </w:r>
      <w:r w:rsidR="00740CA1">
        <w:t>le</w:t>
      </w:r>
      <w:r w:rsidR="0062554A">
        <w:t>a</w:t>
      </w:r>
      <w:r w:rsidR="00740CA1">
        <w:t>d to uncertainty</w:t>
      </w:r>
      <w:r w:rsidR="007C4FD0">
        <w:t xml:space="preserve">, </w:t>
      </w:r>
      <w:r w:rsidR="0062554A">
        <w:t xml:space="preserve">to </w:t>
      </w:r>
      <w:r w:rsidR="007C4FD0">
        <w:t xml:space="preserve">reactive </w:t>
      </w:r>
      <w:r w:rsidR="001727FA">
        <w:t>decisions, and associated delays in action and outcomes</w:t>
      </w:r>
      <w:r w:rsidR="007C4FD0">
        <w:t>.</w:t>
      </w:r>
      <w:r w:rsidR="0057765F">
        <w:t xml:space="preserve"> </w:t>
      </w:r>
    </w:p>
    <w:p w14:paraId="20072858" w14:textId="77777777" w:rsidR="002E2BE2" w:rsidRDefault="002E2BE2" w:rsidP="002E2BE2">
      <w:pPr>
        <w:pStyle w:val="Findingtext"/>
      </w:pPr>
    </w:p>
    <w:p w14:paraId="4DA37EED" w14:textId="545F4BF9" w:rsidR="002E2BE2" w:rsidRPr="007354B8" w:rsidRDefault="001727FA" w:rsidP="002E2BE2">
      <w:pPr>
        <w:pStyle w:val="Findingtext"/>
        <w:rPr>
          <w:b/>
          <w:bCs/>
        </w:rPr>
      </w:pPr>
      <w:r>
        <w:rPr>
          <w:b/>
          <w:bCs/>
        </w:rPr>
        <w:t>Rationale for change</w:t>
      </w:r>
    </w:p>
    <w:p w14:paraId="14492477" w14:textId="494C03AB" w:rsidR="002E2BE2" w:rsidRDefault="00F0430F" w:rsidP="002E2BE2">
      <w:pPr>
        <w:pStyle w:val="Findingtext"/>
      </w:pPr>
      <w:r>
        <w:rPr>
          <w:bCs/>
        </w:rPr>
        <w:t>Delays in decision-making can have a significant impact on how a case is managed</w:t>
      </w:r>
      <w:r w:rsidR="001C7306">
        <w:rPr>
          <w:bCs/>
        </w:rPr>
        <w:t>,</w:t>
      </w:r>
      <w:r w:rsidR="001727FA">
        <w:rPr>
          <w:bCs/>
        </w:rPr>
        <w:t xml:space="preserve"> compromise </w:t>
      </w:r>
      <w:r w:rsidR="001C7306">
        <w:rPr>
          <w:bCs/>
        </w:rPr>
        <w:t xml:space="preserve">service user engagement and Making Safeguarding Personal approaches, and </w:t>
      </w:r>
      <w:r>
        <w:rPr>
          <w:bCs/>
        </w:rPr>
        <w:t xml:space="preserve">the principle of accountability. </w:t>
      </w:r>
      <w:r w:rsidR="0079432D">
        <w:rPr>
          <w:bCs/>
        </w:rPr>
        <w:t xml:space="preserve">The </w:t>
      </w:r>
      <w:r>
        <w:rPr>
          <w:bCs/>
        </w:rPr>
        <w:t xml:space="preserve">lack of clarity </w:t>
      </w:r>
      <w:r w:rsidR="0079432D">
        <w:rPr>
          <w:bCs/>
        </w:rPr>
        <w:t xml:space="preserve">can </w:t>
      </w:r>
      <w:r>
        <w:rPr>
          <w:bCs/>
        </w:rPr>
        <w:t>mean that an adult at risk does not know what role organisations are playing in their life</w:t>
      </w:r>
      <w:r w:rsidR="00022A20">
        <w:rPr>
          <w:bCs/>
        </w:rPr>
        <w:t>.</w:t>
      </w:r>
      <w:r w:rsidR="00C86ADF">
        <w:rPr>
          <w:bCs/>
        </w:rPr>
        <w:t xml:space="preserve"> </w:t>
      </w:r>
      <w:r w:rsidR="00190B5F">
        <w:rPr>
          <w:bCs/>
        </w:rPr>
        <w:t>Timeliness could be improved if safeguarding decision-making were viewed as a conti</w:t>
      </w:r>
      <w:r w:rsidR="00C7222D">
        <w:rPr>
          <w:bCs/>
        </w:rPr>
        <w:t>n</w:t>
      </w:r>
      <w:r w:rsidR="00190B5F">
        <w:rPr>
          <w:bCs/>
        </w:rPr>
        <w:t>uum</w:t>
      </w:r>
      <w:r w:rsidR="00C7222D">
        <w:rPr>
          <w:bCs/>
        </w:rPr>
        <w:t xml:space="preserve"> rather than a binary event. Rather than delay action, early decisions can be reviewed </w:t>
      </w:r>
      <w:r w:rsidR="0079432D">
        <w:rPr>
          <w:bCs/>
        </w:rPr>
        <w:t xml:space="preserve">or even reversed, </w:t>
      </w:r>
      <w:r w:rsidR="00C7222D">
        <w:rPr>
          <w:bCs/>
        </w:rPr>
        <w:t xml:space="preserve">upon new </w:t>
      </w:r>
      <w:r w:rsidR="00E859A3">
        <w:rPr>
          <w:bCs/>
        </w:rPr>
        <w:t>or changes to case information.</w:t>
      </w:r>
    </w:p>
    <w:p w14:paraId="5594A0B5" w14:textId="77777777" w:rsidR="002E2BE2" w:rsidRDefault="002E2BE2" w:rsidP="002E2BE2">
      <w:pPr>
        <w:pStyle w:val="Findingtext"/>
      </w:pPr>
    </w:p>
    <w:p w14:paraId="41E61938" w14:textId="04358C05" w:rsidR="002E2BE2" w:rsidRPr="007354B8" w:rsidRDefault="00E3171E" w:rsidP="002E2BE2">
      <w:pPr>
        <w:pStyle w:val="Findingtext"/>
        <w:rPr>
          <w:b/>
          <w:bCs/>
        </w:rPr>
      </w:pPr>
      <w:r>
        <w:rPr>
          <w:b/>
          <w:bCs/>
        </w:rPr>
        <w:t>Questions for the Safeguarding Adults Board</w:t>
      </w:r>
    </w:p>
    <w:p w14:paraId="09ACDAC0" w14:textId="53A64C69" w:rsidR="00C33CF4" w:rsidRPr="00C33CF4" w:rsidRDefault="00C33CF4" w:rsidP="000C0861">
      <w:pPr>
        <w:pStyle w:val="Findingtext"/>
        <w:ind w:left="1701" w:hanging="1701"/>
      </w:pPr>
      <w:r w:rsidRPr="00C33CF4">
        <w:rPr>
          <w:b/>
          <w:bCs/>
        </w:rPr>
        <w:t xml:space="preserve">Finding </w:t>
      </w:r>
      <w:r w:rsidR="005452C7">
        <w:rPr>
          <w:b/>
          <w:bCs/>
        </w:rPr>
        <w:t>3</w:t>
      </w:r>
      <w:r w:rsidRPr="00C33CF4">
        <w:rPr>
          <w:b/>
          <w:bCs/>
        </w:rPr>
        <w:t xml:space="preserve">, </w:t>
      </w:r>
      <w:proofErr w:type="spellStart"/>
      <w:r w:rsidRPr="00C33CF4">
        <w:rPr>
          <w:b/>
          <w:bCs/>
        </w:rPr>
        <w:t>Q1</w:t>
      </w:r>
      <w:proofErr w:type="spellEnd"/>
      <w:r w:rsidRPr="00C33CF4">
        <w:rPr>
          <w:b/>
          <w:bCs/>
        </w:rPr>
        <w:t>:</w:t>
      </w:r>
      <w:r>
        <w:rPr>
          <w:b/>
          <w:bCs/>
        </w:rPr>
        <w:tab/>
      </w:r>
      <w:r w:rsidR="00953651">
        <w:t>How</w:t>
      </w:r>
      <w:r w:rsidR="002B653C">
        <w:t xml:space="preserve"> can good quality safeguarding decisions be made without unnecessary delays in action on the part of referring agencies and multi-agency partnerships</w:t>
      </w:r>
      <w:r w:rsidR="00953651">
        <w:t xml:space="preserve">? </w:t>
      </w:r>
    </w:p>
    <w:p w14:paraId="5708C864" w14:textId="295C65B9" w:rsidR="00C33CF4" w:rsidRDefault="00C33CF4" w:rsidP="00B62B65">
      <w:pPr>
        <w:pStyle w:val="Findingtext"/>
        <w:ind w:left="1701" w:hanging="1701"/>
      </w:pPr>
      <w:r w:rsidRPr="00C33CF4">
        <w:rPr>
          <w:b/>
          <w:bCs/>
        </w:rPr>
        <w:t xml:space="preserve">Finding </w:t>
      </w:r>
      <w:r w:rsidR="005452C7">
        <w:rPr>
          <w:b/>
          <w:bCs/>
        </w:rPr>
        <w:t>3</w:t>
      </w:r>
      <w:r w:rsidRPr="00C33CF4">
        <w:rPr>
          <w:b/>
          <w:bCs/>
        </w:rPr>
        <w:t xml:space="preserve">, </w:t>
      </w:r>
      <w:proofErr w:type="spellStart"/>
      <w:r w:rsidRPr="00C33CF4">
        <w:rPr>
          <w:b/>
          <w:bCs/>
        </w:rPr>
        <w:t>Q2</w:t>
      </w:r>
      <w:proofErr w:type="spellEnd"/>
      <w:r w:rsidRPr="00C33CF4">
        <w:rPr>
          <w:b/>
          <w:bCs/>
        </w:rPr>
        <w:t>:</w:t>
      </w:r>
      <w:r w:rsidRPr="00C33CF4">
        <w:tab/>
      </w:r>
      <w:r w:rsidR="00A314B5">
        <w:t>When more information is needed</w:t>
      </w:r>
      <w:r w:rsidR="002B653C">
        <w:t xml:space="preserve"> </w:t>
      </w:r>
      <w:r w:rsidR="00A314B5">
        <w:t xml:space="preserve">to determine if the statutory criteria for </w:t>
      </w:r>
      <w:proofErr w:type="spellStart"/>
      <w:r w:rsidR="00A314B5">
        <w:t>s.42</w:t>
      </w:r>
      <w:proofErr w:type="spellEnd"/>
      <w:r w:rsidR="00A314B5">
        <w:t xml:space="preserve"> (Care Act 2014) </w:t>
      </w:r>
      <w:r w:rsidR="004A7930">
        <w:t>is needed, should an interim risk management process be used?</w:t>
      </w:r>
    </w:p>
    <w:p w14:paraId="253ABED4" w14:textId="7844FC9B" w:rsidR="00167D4D" w:rsidRPr="00167D4D" w:rsidRDefault="00167D4D" w:rsidP="000C0861">
      <w:pPr>
        <w:pStyle w:val="Findingtext"/>
        <w:ind w:left="1701" w:hanging="1701"/>
      </w:pPr>
      <w:r>
        <w:rPr>
          <w:b/>
          <w:bCs/>
        </w:rPr>
        <w:t xml:space="preserve">Finding 3, </w:t>
      </w:r>
      <w:proofErr w:type="spellStart"/>
      <w:r>
        <w:rPr>
          <w:b/>
          <w:bCs/>
        </w:rPr>
        <w:t>Q3</w:t>
      </w:r>
      <w:proofErr w:type="spellEnd"/>
      <w:r>
        <w:rPr>
          <w:b/>
          <w:bCs/>
        </w:rPr>
        <w:t>:</w:t>
      </w:r>
      <w:r>
        <w:tab/>
        <w:t xml:space="preserve">How </w:t>
      </w:r>
      <w:r w:rsidR="00250CBE">
        <w:t xml:space="preserve">is referral-feedback communicated, so that referring agencies are able to </w:t>
      </w:r>
      <w:r w:rsidR="00370F26">
        <w:t>be transparent with the adult at risk about the process and what to expect?</w:t>
      </w:r>
    </w:p>
    <w:p w14:paraId="79FD842E" w14:textId="77777777" w:rsidR="00080027" w:rsidRDefault="00080027" w:rsidP="00080027">
      <w:pPr>
        <w:pStyle w:val="Findingtext"/>
      </w:pPr>
    </w:p>
    <w:p w14:paraId="192DA21B" w14:textId="05E10C56" w:rsidR="00080027" w:rsidRPr="000C0861" w:rsidRDefault="00830C68" w:rsidP="00080027">
      <w:pPr>
        <w:pStyle w:val="Findingtext"/>
        <w:rPr>
          <w:b/>
          <w:bCs/>
        </w:rPr>
      </w:pPr>
      <w:r w:rsidRPr="000C0861">
        <w:rPr>
          <w:b/>
          <w:bCs/>
        </w:rPr>
        <w:t>Impact and measurement</w:t>
      </w:r>
    </w:p>
    <w:p w14:paraId="46764559" w14:textId="49FB16D2" w:rsidR="00A05C69" w:rsidRDefault="00B10145" w:rsidP="00080027">
      <w:pPr>
        <w:pStyle w:val="Findingtext"/>
      </w:pPr>
      <w:r>
        <w:t>T</w:t>
      </w:r>
      <w:r w:rsidR="00830C68">
        <w:t xml:space="preserve">imeliness </w:t>
      </w:r>
      <w:r w:rsidR="0005670F">
        <w:t xml:space="preserve">is about the balance between gathering information to improve the quality and appropriateness of </w:t>
      </w:r>
      <w:r w:rsidR="004433ED">
        <w:t xml:space="preserve">section 42 enquiry decisions, </w:t>
      </w:r>
      <w:r w:rsidR="00A05C69">
        <w:t xml:space="preserve">communication, and participation by the adult at risk, </w:t>
      </w:r>
      <w:r w:rsidR="004433ED">
        <w:t>and about preventing delays to swift actions to protect adults from abuse and neglect</w:t>
      </w:r>
      <w:r w:rsidR="00EC16F2">
        <w:t xml:space="preserve"> by adult social care </w:t>
      </w:r>
      <w:r w:rsidR="00EC16F2">
        <w:rPr>
          <w:i/>
          <w:iCs/>
        </w:rPr>
        <w:t xml:space="preserve">and </w:t>
      </w:r>
      <w:r w:rsidR="00EC16F2">
        <w:t>partner agencies and those making referrals</w:t>
      </w:r>
      <w:r w:rsidR="004433ED">
        <w:t>.</w:t>
      </w:r>
      <w:r w:rsidR="007216AB">
        <w:t xml:space="preserve"> </w:t>
      </w:r>
      <w:r w:rsidR="00723AEE">
        <w:t xml:space="preserve">Measurements </w:t>
      </w:r>
      <w:r w:rsidR="00EC16F2">
        <w:t xml:space="preserve">and evaluation </w:t>
      </w:r>
      <w:r w:rsidR="007216AB">
        <w:t xml:space="preserve">of safeguarding decisions should therefore consider </w:t>
      </w:r>
      <w:r w:rsidR="00A05C69">
        <w:t>the following factors:</w:t>
      </w:r>
    </w:p>
    <w:p w14:paraId="6AA1E4B5" w14:textId="77777777" w:rsidR="003B5805" w:rsidRDefault="003B5805" w:rsidP="00080027">
      <w:pPr>
        <w:pStyle w:val="Findingtext"/>
      </w:pPr>
    </w:p>
    <w:p w14:paraId="721FA873" w14:textId="77777777" w:rsidR="00A05C69" w:rsidRDefault="00A05C69" w:rsidP="00A05C69">
      <w:pPr>
        <w:pStyle w:val="Findingtext"/>
        <w:numPr>
          <w:ilvl w:val="0"/>
          <w:numId w:val="27"/>
        </w:numPr>
        <w:ind w:hanging="720"/>
      </w:pPr>
      <w:r>
        <w:t>T</w:t>
      </w:r>
      <w:r w:rsidR="00103C38">
        <w:t>imeliness</w:t>
      </w:r>
    </w:p>
    <w:p w14:paraId="38BC2D6E" w14:textId="77777777" w:rsidR="00A05C69" w:rsidRDefault="00A05C69" w:rsidP="00A05C69">
      <w:pPr>
        <w:pStyle w:val="Findingtext"/>
        <w:numPr>
          <w:ilvl w:val="0"/>
          <w:numId w:val="27"/>
        </w:numPr>
        <w:ind w:hanging="720"/>
      </w:pPr>
      <w:r>
        <w:t>Q</w:t>
      </w:r>
      <w:r w:rsidR="00103C38">
        <w:t>uality</w:t>
      </w:r>
    </w:p>
    <w:p w14:paraId="6148BF15" w14:textId="30D673AA" w:rsidR="00A05C69" w:rsidRDefault="00A05C69" w:rsidP="00A05C69">
      <w:pPr>
        <w:pStyle w:val="Findingtext"/>
        <w:numPr>
          <w:ilvl w:val="0"/>
          <w:numId w:val="27"/>
        </w:numPr>
        <w:ind w:hanging="720"/>
      </w:pPr>
      <w:r>
        <w:t>Making Safeguarding Personal</w:t>
      </w:r>
    </w:p>
    <w:p w14:paraId="614E4C4F" w14:textId="7EBAD9F6" w:rsidR="00830C68" w:rsidRDefault="00A05C69" w:rsidP="000C0861">
      <w:pPr>
        <w:pStyle w:val="Findingtext"/>
        <w:numPr>
          <w:ilvl w:val="0"/>
          <w:numId w:val="27"/>
        </w:numPr>
        <w:ind w:hanging="720"/>
      </w:pPr>
      <w:r>
        <w:t>P</w:t>
      </w:r>
      <w:r w:rsidR="00103C38">
        <w:t>artner engagement and actions.</w:t>
      </w:r>
    </w:p>
    <w:p w14:paraId="081C53EB" w14:textId="77777777" w:rsidR="00A05C69" w:rsidRDefault="00A05C69" w:rsidP="002E2BE2">
      <w:pPr>
        <w:pStyle w:val="Findingtext"/>
      </w:pPr>
    </w:p>
    <w:p w14:paraId="55E40DED" w14:textId="7DD68EBD" w:rsidR="00A05C69" w:rsidRDefault="00585922" w:rsidP="000C0861">
      <w:pPr>
        <w:pStyle w:val="Findingtext"/>
      </w:pPr>
      <w:r>
        <w:t xml:space="preserve">Following </w:t>
      </w:r>
      <w:r w:rsidR="00430A84">
        <w:t>SAR</w:t>
      </w:r>
      <w:r>
        <w:t xml:space="preserve"> actions, a</w:t>
      </w:r>
      <w:r w:rsidR="00A05C69">
        <w:t xml:space="preserve"> systematic audit of safeguarding decisions and outcomes </w:t>
      </w:r>
      <w:r>
        <w:t>in these areas could provide greater insight into the overall effectiveness of decision-making processes and the impact of timescales.</w:t>
      </w:r>
    </w:p>
    <w:p w14:paraId="0B74EA8F" w14:textId="77777777" w:rsidR="002E2BE2" w:rsidRDefault="002E2BE2" w:rsidP="002E2BE2">
      <w:pPr>
        <w:pStyle w:val="Findingtext"/>
      </w:pPr>
    </w:p>
    <w:p w14:paraId="1C805575" w14:textId="0E4C1D34" w:rsidR="002E2BE2" w:rsidRDefault="002E2BE2">
      <w:pPr>
        <w:spacing w:after="160" w:line="259" w:lineRule="auto"/>
        <w:rPr>
          <w:bCs/>
        </w:rPr>
      </w:pPr>
    </w:p>
    <w:p w14:paraId="5422FC81" w14:textId="3F421457" w:rsidR="002E2BE2" w:rsidRDefault="002E2BE2" w:rsidP="002E2BE2">
      <w:pPr>
        <w:pStyle w:val="Heading2"/>
        <w:spacing w:after="0"/>
      </w:pPr>
      <w:bookmarkStart w:id="27" w:name="_Toc165109324"/>
      <w:r>
        <w:t xml:space="preserve">TOR </w:t>
      </w:r>
      <w:r w:rsidR="000F06B0">
        <w:t>4</w:t>
      </w:r>
      <w:r>
        <w:t xml:space="preserve">: </w:t>
      </w:r>
      <w:r w:rsidR="000F06B0">
        <w:t>Information sharing around risk management</w:t>
      </w:r>
      <w:bookmarkEnd w:id="27"/>
    </w:p>
    <w:p w14:paraId="05BE2D66" w14:textId="77777777" w:rsidR="002E2BE2" w:rsidRDefault="002E2BE2" w:rsidP="002E2BE2">
      <w:pPr>
        <w:rPr>
          <w:bCs/>
        </w:rPr>
      </w:pPr>
    </w:p>
    <w:p w14:paraId="6BE063FD" w14:textId="77777777" w:rsidR="002E2BE2" w:rsidRPr="00FE33D8" w:rsidRDefault="002E2BE2" w:rsidP="002E2BE2">
      <w:pPr>
        <w:rPr>
          <w:b/>
        </w:rPr>
      </w:pPr>
      <w:r w:rsidRPr="00FE33D8">
        <w:rPr>
          <w:b/>
        </w:rPr>
        <w:t>Context</w:t>
      </w:r>
    </w:p>
    <w:p w14:paraId="270B4268" w14:textId="62BDAB9F" w:rsidR="00D850EE" w:rsidRDefault="00D42129" w:rsidP="00FB74AA">
      <w:pPr>
        <w:rPr>
          <w:bCs/>
        </w:rPr>
      </w:pPr>
      <w:r>
        <w:rPr>
          <w:bCs/>
        </w:rPr>
        <w:t>Information sharing</w:t>
      </w:r>
      <w:r w:rsidR="00B54CFD">
        <w:rPr>
          <w:bCs/>
        </w:rPr>
        <w:t xml:space="preserve"> is a recurring theme in Safeguarding Adult Review recommendations</w:t>
      </w:r>
      <w:r w:rsidR="001034B0">
        <w:rPr>
          <w:bCs/>
        </w:rPr>
        <w:t xml:space="preserve"> about inter-agency working</w:t>
      </w:r>
      <w:r w:rsidR="00ED1035">
        <w:rPr>
          <w:bCs/>
        </w:rPr>
        <w:t xml:space="preserve"> </w:t>
      </w:r>
      <w:sdt>
        <w:sdtPr>
          <w:rPr>
            <w:bCs/>
          </w:rPr>
          <w:id w:val="-120262"/>
          <w:citation/>
        </w:sdtPr>
        <w:sdtEndPr/>
        <w:sdtContent>
          <w:r w:rsidR="0017466E">
            <w:rPr>
              <w:bCs/>
            </w:rPr>
            <w:fldChar w:fldCharType="begin"/>
          </w:r>
          <w:r w:rsidR="0017466E">
            <w:rPr>
              <w:bCs/>
            </w:rPr>
            <w:instrText xml:space="preserve"> CITATION Pre20 \l 2057 </w:instrText>
          </w:r>
          <w:r w:rsidR="0017466E">
            <w:rPr>
              <w:bCs/>
            </w:rPr>
            <w:fldChar w:fldCharType="separate"/>
          </w:r>
          <w:r w:rsidR="00094ACC">
            <w:rPr>
              <w:noProof/>
            </w:rPr>
            <w:t>(Preston-Shoot, Braye, Preston, Allen, &amp; Spreadbury, 2020)</w:t>
          </w:r>
          <w:r w:rsidR="0017466E">
            <w:rPr>
              <w:bCs/>
            </w:rPr>
            <w:fldChar w:fldCharType="end"/>
          </w:r>
        </w:sdtContent>
      </w:sdt>
      <w:r w:rsidR="001034B0">
        <w:rPr>
          <w:bCs/>
        </w:rPr>
        <w:t>.</w:t>
      </w:r>
      <w:r w:rsidR="00F6273F">
        <w:rPr>
          <w:bCs/>
        </w:rPr>
        <w:t xml:space="preserve"> </w:t>
      </w:r>
      <w:r w:rsidR="00FB74AA" w:rsidRPr="00FB74AA">
        <w:rPr>
          <w:bCs/>
        </w:rPr>
        <w:t xml:space="preserve">The National Analysis of Safeguarding Adult Reviews from 2017-2019 identified some good practice in information-sharing. The reports found that effective information-sharing was more likely when practitioners made use of multi-layered communication channels, using </w:t>
      </w:r>
      <w:r w:rsidR="00FB74AA" w:rsidRPr="000C0861">
        <w:rPr>
          <w:bCs/>
          <w:i/>
          <w:iCs/>
        </w:rPr>
        <w:t>“both formal and informal processes, such as meetings, and informal approaches to collaboration in which practised relationships play an important part”</w:t>
      </w:r>
      <w:r w:rsidR="00FB74AA" w:rsidRPr="00FB74AA">
        <w:rPr>
          <w:bCs/>
        </w:rPr>
        <w:t xml:space="preserve"> (Preston-Shoot et al., 2020). Other facilitators of good practice in information-sharing included effective communication with family members, local information-sharing protocols, electronic information systems that produce alerts under certain conditions, joint working, the use of interagency meetings, and access to historical information from other agencies (Ibid).</w:t>
      </w:r>
      <w:r w:rsidR="00127DB9">
        <w:rPr>
          <w:bCs/>
        </w:rPr>
        <w:t xml:space="preserve"> </w:t>
      </w:r>
      <w:r w:rsidR="00BC6F11">
        <w:rPr>
          <w:bCs/>
        </w:rPr>
        <w:t>E</w:t>
      </w:r>
      <w:r w:rsidR="00FB74AA" w:rsidRPr="00FB74AA">
        <w:rPr>
          <w:bCs/>
        </w:rPr>
        <w:t xml:space="preserve">xamples of failings in information-sharing </w:t>
      </w:r>
      <w:r w:rsidR="00BC6F11">
        <w:rPr>
          <w:bCs/>
        </w:rPr>
        <w:t xml:space="preserve">often </w:t>
      </w:r>
      <w:r w:rsidR="00FB74AA" w:rsidRPr="00FB74AA">
        <w:rPr>
          <w:bCs/>
        </w:rPr>
        <w:t>related to individual poor practice – a failure to follow an established process, gaps in information or incomplete sharing of key data, or situations where information was known but not understood</w:t>
      </w:r>
      <w:r w:rsidR="006909F7">
        <w:rPr>
          <w:bCs/>
        </w:rPr>
        <w:t xml:space="preserve"> by the practitioner</w:t>
      </w:r>
      <w:r w:rsidR="00FB74AA" w:rsidRPr="00FB74AA">
        <w:rPr>
          <w:bCs/>
        </w:rPr>
        <w:t xml:space="preserve">. </w:t>
      </w:r>
      <w:r w:rsidR="006909F7">
        <w:rPr>
          <w:bCs/>
        </w:rPr>
        <w:t>F</w:t>
      </w:r>
      <w:r w:rsidR="00FB74AA" w:rsidRPr="00FB74AA">
        <w:rPr>
          <w:bCs/>
        </w:rPr>
        <w:t>actors in poor information-sharing included poor understanding of data protection and the use of different data management systems.</w:t>
      </w:r>
      <w:r w:rsidR="00B325A1">
        <w:rPr>
          <w:bCs/>
        </w:rPr>
        <w:t xml:space="preserve"> </w:t>
      </w:r>
      <w:r w:rsidR="006E2B60">
        <w:rPr>
          <w:bCs/>
        </w:rPr>
        <w:t xml:space="preserve">Failures in information-sharing can result in the over- or under-sharing of </w:t>
      </w:r>
      <w:r w:rsidR="002F7191">
        <w:rPr>
          <w:bCs/>
        </w:rPr>
        <w:t xml:space="preserve">an individual’s confidential, sensitive, and personal data. </w:t>
      </w:r>
      <w:r w:rsidR="003C4B08">
        <w:rPr>
          <w:bCs/>
        </w:rPr>
        <w:t>The right to confidentiality</w:t>
      </w:r>
      <w:r w:rsidR="00D96517">
        <w:rPr>
          <w:bCs/>
        </w:rPr>
        <w:t xml:space="preserve"> engages the human right of respect to privacy and family life (Article 8, H</w:t>
      </w:r>
      <w:r w:rsidR="00406FBD">
        <w:rPr>
          <w:bCs/>
        </w:rPr>
        <w:t xml:space="preserve">uman </w:t>
      </w:r>
      <w:r w:rsidR="00D96517">
        <w:rPr>
          <w:bCs/>
        </w:rPr>
        <w:t>R</w:t>
      </w:r>
      <w:r w:rsidR="00406FBD">
        <w:rPr>
          <w:bCs/>
        </w:rPr>
        <w:t xml:space="preserve">ights </w:t>
      </w:r>
      <w:r w:rsidR="00D96517">
        <w:rPr>
          <w:bCs/>
        </w:rPr>
        <w:t>A</w:t>
      </w:r>
      <w:r w:rsidR="00406FBD">
        <w:rPr>
          <w:bCs/>
        </w:rPr>
        <w:t>ct</w:t>
      </w:r>
      <w:r w:rsidR="00D96517">
        <w:rPr>
          <w:bCs/>
        </w:rPr>
        <w:t xml:space="preserve"> 1998)</w:t>
      </w:r>
      <w:r w:rsidR="00897193">
        <w:rPr>
          <w:bCs/>
        </w:rPr>
        <w:t>.</w:t>
      </w:r>
      <w:r w:rsidR="00787C83">
        <w:rPr>
          <w:bCs/>
        </w:rPr>
        <w:t xml:space="preserve"> </w:t>
      </w:r>
      <w:r w:rsidR="00897193">
        <w:rPr>
          <w:bCs/>
        </w:rPr>
        <w:t>Sharing personal data must be done carefully and with the appropriate lawful basis.</w:t>
      </w:r>
      <w:r w:rsidR="00B146F7">
        <w:rPr>
          <w:bCs/>
        </w:rPr>
        <w:t xml:space="preserve"> </w:t>
      </w:r>
      <w:r w:rsidR="005A4BE2">
        <w:rPr>
          <w:bCs/>
        </w:rPr>
        <w:t xml:space="preserve">The </w:t>
      </w:r>
      <w:r w:rsidR="00715943">
        <w:rPr>
          <w:bCs/>
        </w:rPr>
        <w:t xml:space="preserve">Information Commissioners Office (ICO) identifies </w:t>
      </w:r>
      <w:r w:rsidR="005A2043">
        <w:rPr>
          <w:bCs/>
        </w:rPr>
        <w:t>six lawful bases for sharing personal information:</w:t>
      </w:r>
      <w:r w:rsidR="00CA453C">
        <w:rPr>
          <w:bCs/>
        </w:rPr>
        <w:t xml:space="preserve"> </w:t>
      </w:r>
      <w:r w:rsidR="001E35C0">
        <w:rPr>
          <w:bCs/>
        </w:rPr>
        <w:t>c</w:t>
      </w:r>
      <w:r w:rsidR="005A2043" w:rsidRPr="002F7191">
        <w:rPr>
          <w:bCs/>
        </w:rPr>
        <w:t>onsent</w:t>
      </w:r>
      <w:r w:rsidR="001E35C0">
        <w:rPr>
          <w:bCs/>
        </w:rPr>
        <w:t>, c</w:t>
      </w:r>
      <w:r w:rsidR="005A2043" w:rsidRPr="002F7191">
        <w:rPr>
          <w:bCs/>
        </w:rPr>
        <w:t>ontract</w:t>
      </w:r>
      <w:r w:rsidR="001E35C0">
        <w:rPr>
          <w:bCs/>
        </w:rPr>
        <w:t>, l</w:t>
      </w:r>
      <w:r w:rsidR="005A2043" w:rsidRPr="002F7191">
        <w:rPr>
          <w:bCs/>
        </w:rPr>
        <w:t>egal</w:t>
      </w:r>
      <w:r w:rsidR="001E35C0">
        <w:rPr>
          <w:bCs/>
        </w:rPr>
        <w:t xml:space="preserve">, </w:t>
      </w:r>
      <w:r w:rsidR="005A2043" w:rsidRPr="002F7191">
        <w:rPr>
          <w:bCs/>
        </w:rPr>
        <w:t>obligation</w:t>
      </w:r>
      <w:r w:rsidR="001E35C0">
        <w:rPr>
          <w:bCs/>
        </w:rPr>
        <w:t>, v</w:t>
      </w:r>
      <w:r w:rsidR="005A2043" w:rsidRPr="002F7191">
        <w:rPr>
          <w:bCs/>
        </w:rPr>
        <w:t>ital interest</w:t>
      </w:r>
      <w:r w:rsidR="001E35C0">
        <w:rPr>
          <w:bCs/>
        </w:rPr>
        <w:t>, p</w:t>
      </w:r>
      <w:r w:rsidR="005A2043" w:rsidRPr="002F7191">
        <w:rPr>
          <w:bCs/>
        </w:rPr>
        <w:t>ublic task</w:t>
      </w:r>
      <w:r w:rsidR="001E35C0">
        <w:rPr>
          <w:bCs/>
        </w:rPr>
        <w:t>, and l</w:t>
      </w:r>
      <w:r w:rsidR="005A2043" w:rsidRPr="002F7191">
        <w:rPr>
          <w:bCs/>
        </w:rPr>
        <w:t>egitimate interest</w:t>
      </w:r>
      <w:r w:rsidR="00CA453C" w:rsidRPr="002F7191">
        <w:rPr>
          <w:bCs/>
        </w:rPr>
        <w:t>.</w:t>
      </w:r>
      <w:r w:rsidR="001E35C0">
        <w:rPr>
          <w:bCs/>
        </w:rPr>
        <w:t xml:space="preserve"> </w:t>
      </w:r>
      <w:r w:rsidR="007B6EDD">
        <w:rPr>
          <w:bCs/>
        </w:rPr>
        <w:t>ICO guidance also notes that l</w:t>
      </w:r>
      <w:r w:rsidR="00FD3C2F">
        <w:rPr>
          <w:bCs/>
        </w:rPr>
        <w:t xml:space="preserve">egal frameworks to protect the right to respect for privacy, such as </w:t>
      </w:r>
      <w:r w:rsidR="00475137">
        <w:rPr>
          <w:bCs/>
        </w:rPr>
        <w:t xml:space="preserve">the General Data Protection Regulation (GDPR), Data Protection Act (2018), and Human Rights Act (1998) are not barriers to </w:t>
      </w:r>
      <w:r w:rsidR="00D850EE" w:rsidRPr="000C0861">
        <w:rPr>
          <w:bCs/>
          <w:i/>
          <w:iCs/>
        </w:rPr>
        <w:t xml:space="preserve">appropriate </w:t>
      </w:r>
      <w:r w:rsidR="00475137" w:rsidRPr="000C0861">
        <w:rPr>
          <w:bCs/>
          <w:i/>
          <w:iCs/>
        </w:rPr>
        <w:t xml:space="preserve">information sharing, </w:t>
      </w:r>
      <w:r w:rsidR="00D850EE" w:rsidRPr="000C0861">
        <w:rPr>
          <w:bCs/>
          <w:i/>
          <w:iCs/>
        </w:rPr>
        <w:t>justified on the basis of risk and protection</w:t>
      </w:r>
      <w:r w:rsidR="00D850EE">
        <w:rPr>
          <w:bCs/>
        </w:rPr>
        <w:t>.</w:t>
      </w:r>
      <w:r w:rsidR="00B124EE">
        <w:rPr>
          <w:bCs/>
        </w:rPr>
        <w:t xml:space="preserve"> Where personal data and information are shared practitioners should follow the 7 golden rules for information sharing</w:t>
      </w:r>
      <w:r w:rsidR="004C664C">
        <w:rPr>
          <w:bCs/>
        </w:rPr>
        <w:t xml:space="preserve">, ensuring that it is </w:t>
      </w:r>
      <w:r w:rsidR="00B124EE">
        <w:rPr>
          <w:bCs/>
        </w:rPr>
        <w:t>“necessary, proportionate, relevant, adequate, accurate timely, and secure</w:t>
      </w:r>
      <w:r w:rsidR="00B124EE">
        <w:rPr>
          <w:rStyle w:val="FootnoteReference"/>
          <w:bCs/>
        </w:rPr>
        <w:footnoteReference w:id="4"/>
      </w:r>
      <w:r w:rsidR="00B124EE">
        <w:rPr>
          <w:bCs/>
        </w:rPr>
        <w:t xml:space="preserve">” </w:t>
      </w:r>
      <w:sdt>
        <w:sdtPr>
          <w:rPr>
            <w:bCs/>
          </w:rPr>
          <w:id w:val="935412476"/>
          <w:citation/>
        </w:sdtPr>
        <w:sdtEndPr/>
        <w:sdtContent>
          <w:r w:rsidR="00B124EE">
            <w:rPr>
              <w:bCs/>
            </w:rPr>
            <w:fldChar w:fldCharType="begin"/>
          </w:r>
          <w:r w:rsidR="00B124EE">
            <w:rPr>
              <w:bCs/>
            </w:rPr>
            <w:instrText xml:space="preserve"> CITATION HMG18 \l 2057 </w:instrText>
          </w:r>
          <w:r w:rsidR="00B124EE">
            <w:rPr>
              <w:bCs/>
            </w:rPr>
            <w:fldChar w:fldCharType="separate"/>
          </w:r>
          <w:r w:rsidR="00094ACC">
            <w:rPr>
              <w:noProof/>
            </w:rPr>
            <w:t>(HM Government, 2018)</w:t>
          </w:r>
          <w:r w:rsidR="00B124EE">
            <w:rPr>
              <w:bCs/>
            </w:rPr>
            <w:fldChar w:fldCharType="end"/>
          </w:r>
        </w:sdtContent>
      </w:sdt>
      <w:r w:rsidR="00B124EE">
        <w:rPr>
          <w:bCs/>
        </w:rPr>
        <w:t>.</w:t>
      </w:r>
      <w:r w:rsidR="00A4600E">
        <w:rPr>
          <w:bCs/>
        </w:rPr>
        <w:t xml:space="preserve"> Further guidance on information sharing is available on the Salford Safeguarding Adult</w:t>
      </w:r>
      <w:r w:rsidR="00826C16">
        <w:rPr>
          <w:bCs/>
        </w:rPr>
        <w:t>s</w:t>
      </w:r>
      <w:r w:rsidR="00A4600E">
        <w:rPr>
          <w:bCs/>
        </w:rPr>
        <w:t xml:space="preserve"> Board </w:t>
      </w:r>
      <w:r w:rsidR="00826C16">
        <w:rPr>
          <w:bCs/>
        </w:rPr>
        <w:t>website</w:t>
      </w:r>
      <w:r w:rsidR="00826C16">
        <w:rPr>
          <w:rStyle w:val="FootnoteReference"/>
          <w:bCs/>
        </w:rPr>
        <w:footnoteReference w:id="5"/>
      </w:r>
      <w:r w:rsidR="00826C16">
        <w:rPr>
          <w:bCs/>
        </w:rPr>
        <w:t>.</w:t>
      </w:r>
    </w:p>
    <w:p w14:paraId="59007709" w14:textId="77777777" w:rsidR="001E35C0" w:rsidRDefault="001E35C0" w:rsidP="00FB74AA">
      <w:pPr>
        <w:rPr>
          <w:bCs/>
        </w:rPr>
      </w:pPr>
    </w:p>
    <w:p w14:paraId="1B2797B5" w14:textId="77777777" w:rsidR="002E2BE2" w:rsidRPr="00FE33D8" w:rsidRDefault="002E2BE2" w:rsidP="002E2BE2">
      <w:pPr>
        <w:rPr>
          <w:b/>
        </w:rPr>
      </w:pPr>
      <w:r w:rsidRPr="00FE33D8">
        <w:rPr>
          <w:b/>
        </w:rPr>
        <w:t>Findings</w:t>
      </w:r>
    </w:p>
    <w:p w14:paraId="1734D024" w14:textId="77777777" w:rsidR="001E35C0" w:rsidRDefault="001E35C0" w:rsidP="002E2BE2">
      <w:pPr>
        <w:rPr>
          <w:bCs/>
          <w:i/>
          <w:iCs/>
        </w:rPr>
      </w:pPr>
    </w:p>
    <w:p w14:paraId="58F3CAA0" w14:textId="77F01E4D" w:rsidR="002E2BE2" w:rsidRPr="007354B8" w:rsidRDefault="00CB1759" w:rsidP="002E2BE2">
      <w:pPr>
        <w:rPr>
          <w:bCs/>
          <w:i/>
          <w:iCs/>
        </w:rPr>
      </w:pPr>
      <w:r>
        <w:rPr>
          <w:bCs/>
          <w:i/>
          <w:iCs/>
        </w:rPr>
        <w:t>Precision in i</w:t>
      </w:r>
      <w:r w:rsidR="00DA012B">
        <w:rPr>
          <w:bCs/>
          <w:i/>
          <w:iCs/>
        </w:rPr>
        <w:t xml:space="preserve">nformation sharing </w:t>
      </w:r>
      <w:r>
        <w:rPr>
          <w:bCs/>
          <w:i/>
          <w:iCs/>
        </w:rPr>
        <w:t>about self-neglect</w:t>
      </w:r>
    </w:p>
    <w:p w14:paraId="08022AB5" w14:textId="76E00192" w:rsidR="00B92A91" w:rsidRDefault="00A36454" w:rsidP="002E2BE2">
      <w:pPr>
        <w:rPr>
          <w:bCs/>
        </w:rPr>
      </w:pPr>
      <w:r>
        <w:rPr>
          <w:bCs/>
        </w:rPr>
        <w:t xml:space="preserve">In the case of </w:t>
      </w:r>
      <w:r w:rsidR="00563C51">
        <w:rPr>
          <w:bCs/>
        </w:rPr>
        <w:t>Francis</w:t>
      </w:r>
      <w:r>
        <w:rPr>
          <w:bCs/>
        </w:rPr>
        <w:t xml:space="preserve"> organisations </w:t>
      </w:r>
      <w:r w:rsidR="006A1E27">
        <w:rPr>
          <w:bCs/>
        </w:rPr>
        <w:t xml:space="preserve">regularly </w:t>
      </w:r>
      <w:r>
        <w:rPr>
          <w:bCs/>
        </w:rPr>
        <w:t>shared information</w:t>
      </w:r>
      <w:r w:rsidR="006A1E27">
        <w:rPr>
          <w:bCs/>
        </w:rPr>
        <w:t xml:space="preserve">, but often </w:t>
      </w:r>
      <w:r w:rsidR="0096676D">
        <w:rPr>
          <w:bCs/>
        </w:rPr>
        <w:t>within sector boundaries</w:t>
      </w:r>
      <w:r w:rsidR="00E019B9">
        <w:rPr>
          <w:bCs/>
        </w:rPr>
        <w:t xml:space="preserve"> on the basis of</w:t>
      </w:r>
      <w:r w:rsidR="00A912A1">
        <w:rPr>
          <w:bCs/>
        </w:rPr>
        <w:t xml:space="preserve"> legitimate interest</w:t>
      </w:r>
      <w:r w:rsidR="0096676D">
        <w:rPr>
          <w:bCs/>
        </w:rPr>
        <w:t>; that is health organisations shared</w:t>
      </w:r>
      <w:r w:rsidR="00A912A1">
        <w:rPr>
          <w:bCs/>
        </w:rPr>
        <w:t xml:space="preserve"> health</w:t>
      </w:r>
      <w:r w:rsidR="0096676D">
        <w:rPr>
          <w:bCs/>
        </w:rPr>
        <w:t xml:space="preserve"> information between themselves, public protection organisations</w:t>
      </w:r>
      <w:r w:rsidR="00A912A1">
        <w:rPr>
          <w:bCs/>
        </w:rPr>
        <w:t xml:space="preserve"> processed offender and crime related information</w:t>
      </w:r>
      <w:r w:rsidR="0027239E">
        <w:rPr>
          <w:bCs/>
        </w:rPr>
        <w:t>, and within Local Authority</w:t>
      </w:r>
      <w:r w:rsidR="0096676D">
        <w:rPr>
          <w:bCs/>
        </w:rPr>
        <w:t xml:space="preserve"> </w:t>
      </w:r>
      <w:r w:rsidR="0027239E">
        <w:rPr>
          <w:bCs/>
        </w:rPr>
        <w:t>services</w:t>
      </w:r>
      <w:r w:rsidR="00A912A1">
        <w:rPr>
          <w:bCs/>
        </w:rPr>
        <w:t xml:space="preserve"> information about housing and social care </w:t>
      </w:r>
      <w:r w:rsidR="001D3C2E">
        <w:rPr>
          <w:bCs/>
        </w:rPr>
        <w:t xml:space="preserve">functions were shared </w:t>
      </w:r>
      <w:r w:rsidR="006A1E27">
        <w:rPr>
          <w:bCs/>
        </w:rPr>
        <w:t xml:space="preserve">within the social care and housing sector </w:t>
      </w:r>
      <w:r w:rsidR="001D3C2E">
        <w:rPr>
          <w:bCs/>
        </w:rPr>
        <w:t>as needed</w:t>
      </w:r>
      <w:r w:rsidR="0027239E">
        <w:rPr>
          <w:bCs/>
        </w:rPr>
        <w:t>.</w:t>
      </w:r>
      <w:r w:rsidR="002353FE">
        <w:rPr>
          <w:bCs/>
        </w:rPr>
        <w:t xml:space="preserve"> Information sharing across sectors</w:t>
      </w:r>
      <w:r w:rsidR="00C77379">
        <w:rPr>
          <w:bCs/>
        </w:rPr>
        <w:t xml:space="preserve"> was less effective</w:t>
      </w:r>
      <w:r w:rsidR="00C04EEA">
        <w:rPr>
          <w:bCs/>
        </w:rPr>
        <w:t>, did not follow established processes,</w:t>
      </w:r>
      <w:r w:rsidR="00D70DA1">
        <w:rPr>
          <w:bCs/>
        </w:rPr>
        <w:t xml:space="preserve"> or were one way </w:t>
      </w:r>
      <w:r w:rsidR="00B92A91">
        <w:rPr>
          <w:bCs/>
        </w:rPr>
        <w:t>and lacked precision</w:t>
      </w:r>
      <w:r w:rsidR="006A1E27">
        <w:rPr>
          <w:bCs/>
        </w:rPr>
        <w:t xml:space="preserve"> – for example </w:t>
      </w:r>
      <w:r w:rsidR="003A2EFF">
        <w:rPr>
          <w:bCs/>
        </w:rPr>
        <w:t>generic referrals of “self-neglect” to Adult Social Care without the quantification of risk</w:t>
      </w:r>
      <w:r w:rsidR="00D70DA1">
        <w:rPr>
          <w:bCs/>
        </w:rPr>
        <w:t>.</w:t>
      </w:r>
      <w:r w:rsidR="00C04EEA">
        <w:rPr>
          <w:bCs/>
        </w:rPr>
        <w:t xml:space="preserve"> </w:t>
      </w:r>
      <w:r w:rsidR="00127DB9">
        <w:rPr>
          <w:bCs/>
        </w:rPr>
        <w:t xml:space="preserve">For the referring agency a </w:t>
      </w:r>
      <w:r w:rsidR="00127DB9">
        <w:t>lack of precision and quantification of risk may also make it harder to for them to provide a rationale for information sharing under vital interest, compromising the adequacy and accuracy of the sharing of personal data.</w:t>
      </w:r>
    </w:p>
    <w:p w14:paraId="1C51D610" w14:textId="77777777" w:rsidR="00B92A91" w:rsidRDefault="00B92A91" w:rsidP="002E2BE2">
      <w:pPr>
        <w:rPr>
          <w:bCs/>
        </w:rPr>
      </w:pPr>
    </w:p>
    <w:p w14:paraId="39DDD6D3" w14:textId="77777777" w:rsidR="00CB1759" w:rsidRDefault="00CB1759" w:rsidP="002E2BE2">
      <w:pPr>
        <w:rPr>
          <w:bCs/>
        </w:rPr>
      </w:pPr>
    </w:p>
    <w:p w14:paraId="4B92E010" w14:textId="77777777" w:rsidR="00CB1759" w:rsidRDefault="00CB1759" w:rsidP="00CB1759">
      <w:pPr>
        <w:pStyle w:val="Findingtext"/>
      </w:pPr>
    </w:p>
    <w:p w14:paraId="5CAA977C" w14:textId="0B9DA271" w:rsidR="00CB1759" w:rsidRDefault="00CB1759" w:rsidP="00CB1759">
      <w:pPr>
        <w:pStyle w:val="FindingTitle"/>
      </w:pPr>
      <w:bookmarkStart w:id="28" w:name="_Toc165109325"/>
      <w:r>
        <w:t xml:space="preserve">Finding </w:t>
      </w:r>
      <w:proofErr w:type="spellStart"/>
      <w:r>
        <w:t>4</w:t>
      </w:r>
      <w:r w:rsidR="00416302">
        <w:t>a</w:t>
      </w:r>
      <w:proofErr w:type="spellEnd"/>
      <w:r>
        <w:t>: Precision in self-neglect referrals</w:t>
      </w:r>
      <w:bookmarkEnd w:id="28"/>
    </w:p>
    <w:p w14:paraId="17824970" w14:textId="77777777" w:rsidR="00CB1759" w:rsidRDefault="00CB1759" w:rsidP="00CB1759">
      <w:pPr>
        <w:pStyle w:val="Findingtext"/>
      </w:pPr>
    </w:p>
    <w:p w14:paraId="7C481BE9" w14:textId="77777777" w:rsidR="00CB1759" w:rsidRPr="007354B8" w:rsidRDefault="00CB1759" w:rsidP="00CB1759">
      <w:pPr>
        <w:pStyle w:val="Findingtext"/>
        <w:rPr>
          <w:b/>
          <w:bCs/>
        </w:rPr>
      </w:pPr>
      <w:r w:rsidRPr="007354B8">
        <w:rPr>
          <w:b/>
          <w:bCs/>
        </w:rPr>
        <w:t>Underlying issue</w:t>
      </w:r>
    </w:p>
    <w:p w14:paraId="0BC123E5" w14:textId="11A8B833" w:rsidR="00CB1759" w:rsidRDefault="00127DB9" w:rsidP="00CB1759">
      <w:pPr>
        <w:pStyle w:val="Findingtext"/>
      </w:pPr>
      <w:r>
        <w:rPr>
          <w:bCs/>
        </w:rPr>
        <w:t xml:space="preserve">A lack of precision and detail in referrals for self-neglect can make it difficult for decision-makers to quantify and determine the true level of risk. This can result in the need for further clarification, feedback, or follow-up on referrals, delays and referrals being closed where the full extent and level of urgency had not been understood. </w:t>
      </w:r>
      <w:r w:rsidR="00D901CE">
        <w:t xml:space="preserve">Safeguarding decision-makers have provided evidence that </w:t>
      </w:r>
      <w:r w:rsidR="00C31690">
        <w:t>self-neglect referrals often lack</w:t>
      </w:r>
      <w:r>
        <w:t>ing</w:t>
      </w:r>
      <w:r w:rsidR="00C31690">
        <w:t xml:space="preserve"> precision and detail, sometimes simply refer to a risk of self-neglect without </w:t>
      </w:r>
      <w:r w:rsidR="008905B4">
        <w:t>quantifying that risk.</w:t>
      </w:r>
    </w:p>
    <w:p w14:paraId="0B8AC9C2" w14:textId="77777777" w:rsidR="00CB1759" w:rsidRDefault="00CB1759" w:rsidP="00CB1759">
      <w:pPr>
        <w:pStyle w:val="Findingtext"/>
      </w:pPr>
    </w:p>
    <w:p w14:paraId="666AC87A" w14:textId="10AF4489" w:rsidR="00CB1759" w:rsidRPr="007354B8" w:rsidRDefault="00AE6BBB" w:rsidP="00CB1759">
      <w:pPr>
        <w:pStyle w:val="Findingtext"/>
        <w:rPr>
          <w:b/>
          <w:bCs/>
        </w:rPr>
      </w:pPr>
      <w:r>
        <w:rPr>
          <w:b/>
          <w:bCs/>
        </w:rPr>
        <w:t>Rationale for change</w:t>
      </w:r>
    </w:p>
    <w:p w14:paraId="11C3D7C1" w14:textId="70CC17FA" w:rsidR="00EB7BC6" w:rsidRDefault="00D901CE" w:rsidP="00EB7BC6">
      <w:pPr>
        <w:pStyle w:val="Findingtext"/>
      </w:pPr>
      <w:r>
        <w:t xml:space="preserve">A lack of precision and detail in referrals – for example relying on broad descriptions </w:t>
      </w:r>
      <w:r w:rsidR="00B238F7">
        <w:t>and generic terms such as</w:t>
      </w:r>
      <w:r>
        <w:t xml:space="preserve"> “self-neglect” makes it difficult for safeguarding decision-makers to determine accurately the level of risk.</w:t>
      </w:r>
      <w:r w:rsidR="008905B4">
        <w:t xml:space="preserve"> </w:t>
      </w:r>
      <w:r w:rsidR="00460E24">
        <w:t xml:space="preserve">A lack of detail </w:t>
      </w:r>
      <w:r w:rsidR="0003616D">
        <w:t xml:space="preserve">can lead to poor quality decision-making and an inadequate or disproportionate </w:t>
      </w:r>
      <w:r w:rsidR="00B238F7">
        <w:t xml:space="preserve">(insufficient or excessive) </w:t>
      </w:r>
      <w:r w:rsidR="0003616D">
        <w:t>response.</w:t>
      </w:r>
      <w:r w:rsidR="008905B4">
        <w:t xml:space="preserve"> I</w:t>
      </w:r>
      <w:r w:rsidR="00E65B5B">
        <w:t xml:space="preserve">nformation sharing should </w:t>
      </w:r>
      <w:r w:rsidR="00B238F7">
        <w:t xml:space="preserve">follow guidance and local policy, and should </w:t>
      </w:r>
      <w:r w:rsidR="00E65B5B">
        <w:t xml:space="preserve">be </w:t>
      </w:r>
      <w:r w:rsidR="00E65B5B">
        <w:rPr>
          <w:bCs/>
        </w:rPr>
        <w:t xml:space="preserve">“necessary, proportionate, relevant, </w:t>
      </w:r>
      <w:r w:rsidR="00E65B5B" w:rsidRPr="000C0861">
        <w:rPr>
          <w:bCs/>
        </w:rPr>
        <w:t>adequate, accurate</w:t>
      </w:r>
      <w:r w:rsidR="00B328DD">
        <w:rPr>
          <w:bCs/>
        </w:rPr>
        <w:t>,</w:t>
      </w:r>
      <w:r w:rsidR="00E65B5B">
        <w:rPr>
          <w:bCs/>
        </w:rPr>
        <w:t xml:space="preserve"> timely, and secure” </w:t>
      </w:r>
      <w:sdt>
        <w:sdtPr>
          <w:rPr>
            <w:bCs/>
          </w:rPr>
          <w:id w:val="1910877877"/>
          <w:citation/>
        </w:sdtPr>
        <w:sdtEndPr/>
        <w:sdtContent>
          <w:r w:rsidR="00E65B5B">
            <w:rPr>
              <w:bCs/>
            </w:rPr>
            <w:fldChar w:fldCharType="begin"/>
          </w:r>
          <w:r w:rsidR="00E65B5B">
            <w:rPr>
              <w:bCs/>
            </w:rPr>
            <w:instrText xml:space="preserve"> CITATION HMG18 \l 2057 </w:instrText>
          </w:r>
          <w:r w:rsidR="00E65B5B">
            <w:rPr>
              <w:bCs/>
            </w:rPr>
            <w:fldChar w:fldCharType="separate"/>
          </w:r>
          <w:r w:rsidR="00094ACC">
            <w:rPr>
              <w:noProof/>
            </w:rPr>
            <w:t>(HM Government, 2018)</w:t>
          </w:r>
          <w:r w:rsidR="00E65B5B">
            <w:rPr>
              <w:bCs/>
            </w:rPr>
            <w:fldChar w:fldCharType="end"/>
          </w:r>
        </w:sdtContent>
      </w:sdt>
      <w:r w:rsidR="00E65B5B">
        <w:t xml:space="preserve">. </w:t>
      </w:r>
      <w:r w:rsidR="00EB7BC6">
        <w:t xml:space="preserve">Risks should be quantified and the rationale for </w:t>
      </w:r>
      <w:r w:rsidR="00AE6BBB">
        <w:t>information-</w:t>
      </w:r>
      <w:r w:rsidR="00EB7BC6">
        <w:t xml:space="preserve">sharing </w:t>
      </w:r>
      <w:r w:rsidR="00AE6BBB">
        <w:t>(</w:t>
      </w:r>
      <w:r w:rsidR="00EB7BC6">
        <w:t>with consent, or under vital interest</w:t>
      </w:r>
      <w:r w:rsidR="00AE6BBB">
        <w:t>)</w:t>
      </w:r>
      <w:r w:rsidR="00EB7BC6">
        <w:t xml:space="preserve"> should be included. </w:t>
      </w:r>
    </w:p>
    <w:p w14:paraId="355232D9" w14:textId="77777777" w:rsidR="00EB7BC6" w:rsidRDefault="00EB7BC6" w:rsidP="00CB1759">
      <w:pPr>
        <w:pStyle w:val="Findingtext"/>
      </w:pPr>
    </w:p>
    <w:p w14:paraId="2BEE68FC" w14:textId="60C0B6AC" w:rsidR="00CB1759" w:rsidRDefault="00AE6BBB" w:rsidP="00CB1759">
      <w:pPr>
        <w:pStyle w:val="Findingtext"/>
        <w:rPr>
          <w:b/>
          <w:bCs/>
        </w:rPr>
      </w:pPr>
      <w:r>
        <w:rPr>
          <w:b/>
          <w:bCs/>
        </w:rPr>
        <w:t>Questions for the Safeguarding Adults Board</w:t>
      </w:r>
    </w:p>
    <w:p w14:paraId="24641EA3" w14:textId="77777777" w:rsidR="00D20C16" w:rsidRPr="000C0861" w:rsidRDefault="00D20C16" w:rsidP="00CB1759">
      <w:pPr>
        <w:pStyle w:val="Findingtext"/>
      </w:pPr>
    </w:p>
    <w:p w14:paraId="3D7A9C7B" w14:textId="69B67F7D" w:rsidR="00E74AFF" w:rsidRPr="006E1A71" w:rsidRDefault="00E74AFF" w:rsidP="00E74AFF">
      <w:pPr>
        <w:pBdr>
          <w:top w:val="single" w:sz="4" w:space="1" w:color="auto"/>
          <w:left w:val="single" w:sz="4" w:space="4" w:color="auto"/>
          <w:bottom w:val="single" w:sz="4" w:space="1" w:color="auto"/>
          <w:right w:val="single" w:sz="4" w:space="4" w:color="auto"/>
        </w:pBdr>
        <w:shd w:val="clear" w:color="auto" w:fill="D3C1FF"/>
        <w:ind w:left="1701" w:hanging="1701"/>
        <w:rPr>
          <w:rFonts w:eastAsia="Calibri" w:cs="Arial"/>
        </w:rPr>
      </w:pPr>
      <w:r w:rsidRPr="006E1A71">
        <w:rPr>
          <w:rFonts w:eastAsia="Calibri" w:cs="Arial"/>
          <w:b/>
          <w:bCs/>
        </w:rPr>
        <w:t xml:space="preserve">Finding </w:t>
      </w:r>
      <w:proofErr w:type="spellStart"/>
      <w:r w:rsidR="00D20C16">
        <w:rPr>
          <w:rFonts w:eastAsia="Calibri" w:cs="Arial"/>
          <w:b/>
          <w:bCs/>
        </w:rPr>
        <w:t>4</w:t>
      </w:r>
      <w:r w:rsidR="00416302">
        <w:rPr>
          <w:rFonts w:eastAsia="Calibri" w:cs="Arial"/>
          <w:b/>
          <w:bCs/>
        </w:rPr>
        <w:t>a</w:t>
      </w:r>
      <w:proofErr w:type="spellEnd"/>
      <w:r w:rsidRPr="006E1A71">
        <w:rPr>
          <w:rFonts w:eastAsia="Calibri" w:cs="Arial"/>
          <w:b/>
          <w:bCs/>
        </w:rPr>
        <w:t xml:space="preserve">, </w:t>
      </w:r>
      <w:proofErr w:type="spellStart"/>
      <w:r w:rsidRPr="006E1A71">
        <w:rPr>
          <w:rFonts w:eastAsia="Calibri" w:cs="Arial"/>
          <w:b/>
          <w:bCs/>
        </w:rPr>
        <w:t>Q1</w:t>
      </w:r>
      <w:proofErr w:type="spellEnd"/>
      <w:r w:rsidRPr="006E1A71">
        <w:rPr>
          <w:rFonts w:eastAsia="Calibri" w:cs="Arial"/>
          <w:b/>
          <w:bCs/>
        </w:rPr>
        <w:t>:</w:t>
      </w:r>
      <w:r w:rsidRPr="006E1A71">
        <w:rPr>
          <w:rFonts w:eastAsia="Calibri" w:cs="Arial"/>
          <w:b/>
          <w:bCs/>
        </w:rPr>
        <w:tab/>
      </w:r>
      <w:r w:rsidR="00B77D49">
        <w:rPr>
          <w:rFonts w:eastAsia="Calibri" w:cs="Arial"/>
        </w:rPr>
        <w:t xml:space="preserve">What makes </w:t>
      </w:r>
      <w:r w:rsidR="00DD1793">
        <w:rPr>
          <w:rFonts w:eastAsia="Calibri" w:cs="Arial"/>
        </w:rPr>
        <w:t xml:space="preserve">a good referral for </w:t>
      </w:r>
      <w:r w:rsidR="0015334F">
        <w:rPr>
          <w:rFonts w:eastAsia="Calibri" w:cs="Arial"/>
        </w:rPr>
        <w:t>a case involving self-neglect?</w:t>
      </w:r>
    </w:p>
    <w:p w14:paraId="23D1DF65" w14:textId="733F11A2" w:rsidR="00E74AFF" w:rsidRDefault="00E74AFF" w:rsidP="00E74AFF">
      <w:pPr>
        <w:pBdr>
          <w:top w:val="single" w:sz="4" w:space="1" w:color="auto"/>
          <w:left w:val="single" w:sz="4" w:space="4" w:color="auto"/>
          <w:bottom w:val="single" w:sz="4" w:space="1" w:color="auto"/>
          <w:right w:val="single" w:sz="4" w:space="4" w:color="auto"/>
        </w:pBdr>
        <w:shd w:val="clear" w:color="auto" w:fill="D3C1FF"/>
        <w:ind w:left="1701" w:hanging="1701"/>
        <w:rPr>
          <w:rFonts w:eastAsia="Calibri" w:cs="Arial"/>
        </w:rPr>
      </w:pPr>
      <w:r w:rsidRPr="006E1A71">
        <w:rPr>
          <w:rFonts w:eastAsia="Calibri" w:cs="Arial"/>
          <w:b/>
          <w:bCs/>
        </w:rPr>
        <w:t xml:space="preserve">Finding </w:t>
      </w:r>
      <w:proofErr w:type="spellStart"/>
      <w:r w:rsidR="00B77D49">
        <w:rPr>
          <w:rFonts w:eastAsia="Calibri" w:cs="Arial"/>
          <w:b/>
          <w:bCs/>
        </w:rPr>
        <w:t>4</w:t>
      </w:r>
      <w:r w:rsidR="00416302">
        <w:rPr>
          <w:rFonts w:eastAsia="Calibri" w:cs="Arial"/>
          <w:b/>
          <w:bCs/>
        </w:rPr>
        <w:t>a</w:t>
      </w:r>
      <w:proofErr w:type="spellEnd"/>
      <w:r w:rsidRPr="006E1A71">
        <w:rPr>
          <w:rFonts w:eastAsia="Calibri" w:cs="Arial"/>
          <w:b/>
          <w:bCs/>
        </w:rPr>
        <w:t xml:space="preserve">, </w:t>
      </w:r>
      <w:proofErr w:type="spellStart"/>
      <w:r w:rsidRPr="006E1A71">
        <w:rPr>
          <w:rFonts w:eastAsia="Calibri" w:cs="Arial"/>
          <w:b/>
          <w:bCs/>
        </w:rPr>
        <w:t>Q2</w:t>
      </w:r>
      <w:proofErr w:type="spellEnd"/>
      <w:r w:rsidRPr="006E1A71">
        <w:rPr>
          <w:rFonts w:eastAsia="Calibri" w:cs="Arial"/>
          <w:b/>
          <w:bCs/>
        </w:rPr>
        <w:t>:</w:t>
      </w:r>
      <w:r w:rsidRPr="006E1A71">
        <w:rPr>
          <w:rFonts w:eastAsia="Calibri" w:cs="Arial"/>
        </w:rPr>
        <w:tab/>
      </w:r>
      <w:r w:rsidR="00B77D49" w:rsidRPr="006E1A71">
        <w:rPr>
          <w:rFonts w:eastAsia="Calibri" w:cs="Arial"/>
        </w:rPr>
        <w:t xml:space="preserve">How </w:t>
      </w:r>
      <w:r w:rsidR="00B77D49">
        <w:rPr>
          <w:rFonts w:eastAsia="Calibri" w:cs="Arial"/>
        </w:rPr>
        <w:t>can the Board support practitioners to make high quality referrals in relation to self-neglect?</w:t>
      </w:r>
    </w:p>
    <w:p w14:paraId="251C7E00" w14:textId="4573EED2" w:rsidR="00EB7BC6" w:rsidRDefault="00EB7BC6" w:rsidP="00A52ED1">
      <w:pPr>
        <w:pStyle w:val="Findingtext"/>
      </w:pPr>
    </w:p>
    <w:p w14:paraId="76156EBD" w14:textId="333F7C4F" w:rsidR="0015334F" w:rsidRPr="000C0861" w:rsidRDefault="0015334F" w:rsidP="00A52ED1">
      <w:pPr>
        <w:pStyle w:val="Findingtext"/>
        <w:rPr>
          <w:b/>
          <w:bCs/>
        </w:rPr>
      </w:pPr>
      <w:r>
        <w:rPr>
          <w:b/>
          <w:bCs/>
        </w:rPr>
        <w:t>Impact and measurement</w:t>
      </w:r>
    </w:p>
    <w:p w14:paraId="694CA89F" w14:textId="6DD23EDC" w:rsidR="00CB1759" w:rsidRDefault="0032253B" w:rsidP="00CB1759">
      <w:pPr>
        <w:pStyle w:val="Findingtext"/>
      </w:pPr>
      <w:r>
        <w:t>This</w:t>
      </w:r>
      <w:r w:rsidR="003D27C3">
        <w:t xml:space="preserve"> finding is about the quality of </w:t>
      </w:r>
      <w:r w:rsidR="00936546">
        <w:t xml:space="preserve">professional </w:t>
      </w:r>
      <w:r w:rsidR="003D27C3">
        <w:t xml:space="preserve">referrals to </w:t>
      </w:r>
      <w:r w:rsidR="00F571F7">
        <w:t xml:space="preserve">Adult Social Care </w:t>
      </w:r>
      <w:r w:rsidR="003D27C3">
        <w:t xml:space="preserve">safeguarding </w:t>
      </w:r>
      <w:r w:rsidR="00F571F7">
        <w:t>for a decision on whether a section 42 (Care Act 2014) enquiry should take place</w:t>
      </w:r>
      <w:r w:rsidR="00936546">
        <w:t xml:space="preserve">. In particular this finding is about the level of detail included in referrals and </w:t>
      </w:r>
      <w:r w:rsidR="00E61F07">
        <w:t xml:space="preserve">about improving </w:t>
      </w:r>
      <w:r w:rsidR="00936546">
        <w:t>the quality of the risk assessment undertaken by the referring agency</w:t>
      </w:r>
      <w:r w:rsidR="00E61F07">
        <w:t>.</w:t>
      </w:r>
      <w:r w:rsidR="004C0DF8">
        <w:t xml:space="preserve"> Actions may focus on building expertise in the system through guidance, training, supervision, and other workforce development strategies.</w:t>
      </w:r>
      <w:r w:rsidR="0032022E">
        <w:t xml:space="preserve"> Measuring the impact of these actions may include </w:t>
      </w:r>
      <w:r w:rsidR="00755235">
        <w:t>feedback from practitioners on their confidence in making referrals, and on evaluation of referrals</w:t>
      </w:r>
      <w:r w:rsidR="004A4C5B">
        <w:t>,</w:t>
      </w:r>
      <w:r w:rsidR="00755235">
        <w:t xml:space="preserve"> pre- and post-SAR actions.</w:t>
      </w:r>
    </w:p>
    <w:p w14:paraId="475E7EAF" w14:textId="77777777" w:rsidR="0015334F" w:rsidRDefault="0015334F" w:rsidP="00CB1759">
      <w:pPr>
        <w:pStyle w:val="Findingtext"/>
      </w:pPr>
    </w:p>
    <w:p w14:paraId="16BC298E" w14:textId="77777777" w:rsidR="00CB1759" w:rsidRDefault="00CB1759" w:rsidP="002E2BE2">
      <w:pPr>
        <w:rPr>
          <w:bCs/>
        </w:rPr>
      </w:pPr>
    </w:p>
    <w:p w14:paraId="53E4B00F" w14:textId="77777777" w:rsidR="000345F0" w:rsidRDefault="000345F0" w:rsidP="002E2BE2">
      <w:pPr>
        <w:rPr>
          <w:bCs/>
        </w:rPr>
      </w:pPr>
    </w:p>
    <w:p w14:paraId="6531A8E3" w14:textId="7CACDB6F" w:rsidR="00C04EEA" w:rsidRPr="00A64135" w:rsidRDefault="00A64135" w:rsidP="002E2BE2">
      <w:pPr>
        <w:rPr>
          <w:bCs/>
          <w:i/>
          <w:iCs/>
        </w:rPr>
      </w:pPr>
      <w:r>
        <w:rPr>
          <w:bCs/>
          <w:i/>
          <w:iCs/>
        </w:rPr>
        <w:t>Information about risks to others</w:t>
      </w:r>
    </w:p>
    <w:p w14:paraId="423DCF72" w14:textId="77777777" w:rsidR="00A64135" w:rsidRDefault="00A64135" w:rsidP="002E2BE2">
      <w:pPr>
        <w:rPr>
          <w:bCs/>
        </w:rPr>
      </w:pPr>
    </w:p>
    <w:p w14:paraId="33A9779A" w14:textId="3C4976FD" w:rsidR="0003039B" w:rsidRDefault="00930FB1" w:rsidP="006E44CC">
      <w:pPr>
        <w:rPr>
          <w:bCs/>
        </w:rPr>
      </w:pPr>
      <w:r>
        <w:rPr>
          <w:bCs/>
        </w:rPr>
        <w:t xml:space="preserve">In the case of </w:t>
      </w:r>
      <w:r w:rsidR="00563C51">
        <w:rPr>
          <w:bCs/>
        </w:rPr>
        <w:t>Francis</w:t>
      </w:r>
      <w:r>
        <w:rPr>
          <w:bCs/>
        </w:rPr>
        <w:t xml:space="preserve"> </w:t>
      </w:r>
      <w:r w:rsidR="007D6EC7">
        <w:rPr>
          <w:bCs/>
        </w:rPr>
        <w:t xml:space="preserve">there was a failure to share information about </w:t>
      </w:r>
      <w:r w:rsidR="00103FD0">
        <w:rPr>
          <w:bCs/>
        </w:rPr>
        <w:t xml:space="preserve">his potential </w:t>
      </w:r>
      <w:r w:rsidR="007D6EC7">
        <w:rPr>
          <w:bCs/>
        </w:rPr>
        <w:t>risk to others</w:t>
      </w:r>
      <w:r w:rsidR="008B7A8E">
        <w:rPr>
          <w:bCs/>
        </w:rPr>
        <w:t xml:space="preserve"> including members of staff, his neighbours</w:t>
      </w:r>
      <w:r w:rsidR="00AE5645">
        <w:rPr>
          <w:bCs/>
        </w:rPr>
        <w:t>,</w:t>
      </w:r>
      <w:r w:rsidR="008B7A8E">
        <w:rPr>
          <w:bCs/>
        </w:rPr>
        <w:t xml:space="preserve"> and their children</w:t>
      </w:r>
      <w:r w:rsidR="00B82022">
        <w:rPr>
          <w:bCs/>
        </w:rPr>
        <w:t>,</w:t>
      </w:r>
      <w:r w:rsidR="00AE5645">
        <w:rPr>
          <w:bCs/>
        </w:rPr>
        <w:t xml:space="preserve"> </w:t>
      </w:r>
      <w:r w:rsidR="008B7A8E">
        <w:rPr>
          <w:bCs/>
        </w:rPr>
        <w:t xml:space="preserve">who provided support </w:t>
      </w:r>
      <w:r w:rsidR="00AE5645">
        <w:rPr>
          <w:bCs/>
        </w:rPr>
        <w:t xml:space="preserve">to him </w:t>
      </w:r>
      <w:r w:rsidR="00B85F65">
        <w:rPr>
          <w:bCs/>
        </w:rPr>
        <w:t>in his home and helped care for his dog.</w:t>
      </w:r>
      <w:r w:rsidR="007D6EC7">
        <w:rPr>
          <w:bCs/>
        </w:rPr>
        <w:t xml:space="preserve"> </w:t>
      </w:r>
      <w:r w:rsidR="005D6AC2">
        <w:rPr>
          <w:bCs/>
        </w:rPr>
        <w:t xml:space="preserve">Between </w:t>
      </w:r>
      <w:r w:rsidR="0084372C">
        <w:rPr>
          <w:bCs/>
        </w:rPr>
        <w:t xml:space="preserve">the age of </w:t>
      </w:r>
      <w:r w:rsidR="005D6AC2">
        <w:rPr>
          <w:bCs/>
        </w:rPr>
        <w:t>18</w:t>
      </w:r>
      <w:r w:rsidR="006945C1">
        <w:rPr>
          <w:bCs/>
        </w:rPr>
        <w:t xml:space="preserve"> and </w:t>
      </w:r>
      <w:r w:rsidR="00845A75">
        <w:rPr>
          <w:bCs/>
        </w:rPr>
        <w:t>51,</w:t>
      </w:r>
      <w:r w:rsidR="006945C1">
        <w:rPr>
          <w:bCs/>
        </w:rPr>
        <w:t xml:space="preserve"> </w:t>
      </w:r>
      <w:r w:rsidR="00563C51">
        <w:rPr>
          <w:bCs/>
        </w:rPr>
        <w:t>Francis</w:t>
      </w:r>
      <w:r w:rsidR="006945C1">
        <w:rPr>
          <w:bCs/>
        </w:rPr>
        <w:t xml:space="preserve"> had received 79 convictions and 2 cautions</w:t>
      </w:r>
      <w:r w:rsidR="008955FA">
        <w:rPr>
          <w:bCs/>
        </w:rPr>
        <w:t>.</w:t>
      </w:r>
      <w:r w:rsidR="003A6CDE">
        <w:rPr>
          <w:bCs/>
        </w:rPr>
        <w:t xml:space="preserve"> </w:t>
      </w:r>
      <w:r w:rsidR="00F25ABD">
        <w:rPr>
          <w:bCs/>
        </w:rPr>
        <w:t>In place at</w:t>
      </w:r>
      <w:r w:rsidR="003A6CDE">
        <w:rPr>
          <w:bCs/>
        </w:rPr>
        <w:t xml:space="preserve"> the time of his death, </w:t>
      </w:r>
      <w:r w:rsidR="00563C51">
        <w:rPr>
          <w:bCs/>
        </w:rPr>
        <w:t>Francis</w:t>
      </w:r>
      <w:r w:rsidR="003A6CDE">
        <w:rPr>
          <w:bCs/>
        </w:rPr>
        <w:t xml:space="preserve"> had warning </w:t>
      </w:r>
      <w:r w:rsidR="00E31952">
        <w:rPr>
          <w:bCs/>
        </w:rPr>
        <w:t xml:space="preserve">markers </w:t>
      </w:r>
      <w:r w:rsidR="003A6CDE">
        <w:rPr>
          <w:bCs/>
        </w:rPr>
        <w:t xml:space="preserve">for </w:t>
      </w:r>
      <w:r w:rsidR="00081444">
        <w:rPr>
          <w:bCs/>
        </w:rPr>
        <w:t xml:space="preserve">weapons, </w:t>
      </w:r>
      <w:r w:rsidR="003A6CDE">
        <w:rPr>
          <w:bCs/>
        </w:rPr>
        <w:t>violence, drugs</w:t>
      </w:r>
      <w:r w:rsidR="00081444">
        <w:rPr>
          <w:bCs/>
        </w:rPr>
        <w:t xml:space="preserve"> offences and other offences</w:t>
      </w:r>
      <w:r w:rsidR="00583DD8">
        <w:rPr>
          <w:bCs/>
        </w:rPr>
        <w:t xml:space="preserve"> and h</w:t>
      </w:r>
      <w:r w:rsidR="00081444">
        <w:rPr>
          <w:bCs/>
        </w:rPr>
        <w:t>is offending profile resulted in him being assessed as a risk to women</w:t>
      </w:r>
      <w:r w:rsidR="003A6CDE">
        <w:rPr>
          <w:bCs/>
        </w:rPr>
        <w:t>.</w:t>
      </w:r>
      <w:r w:rsidR="0067081A">
        <w:rPr>
          <w:bCs/>
        </w:rPr>
        <w:t xml:space="preserve"> </w:t>
      </w:r>
      <w:r w:rsidR="00583DD8">
        <w:rPr>
          <w:bCs/>
        </w:rPr>
        <w:t>His</w:t>
      </w:r>
      <w:r w:rsidR="00E24623">
        <w:rPr>
          <w:bCs/>
        </w:rPr>
        <w:t xml:space="preserve"> risk </w:t>
      </w:r>
      <w:r w:rsidR="00C30481">
        <w:rPr>
          <w:bCs/>
        </w:rPr>
        <w:t>profile</w:t>
      </w:r>
      <w:r w:rsidR="0067081A">
        <w:rPr>
          <w:bCs/>
        </w:rPr>
        <w:t xml:space="preserve"> </w:t>
      </w:r>
      <w:r w:rsidR="007F2323">
        <w:rPr>
          <w:bCs/>
        </w:rPr>
        <w:t>le</w:t>
      </w:r>
      <w:r w:rsidR="00583DD8">
        <w:rPr>
          <w:bCs/>
        </w:rPr>
        <w:t>d</w:t>
      </w:r>
      <w:r w:rsidR="007F2323">
        <w:rPr>
          <w:bCs/>
        </w:rPr>
        <w:t xml:space="preserve"> to </w:t>
      </w:r>
      <w:r w:rsidR="0067081A">
        <w:rPr>
          <w:bCs/>
        </w:rPr>
        <w:t>the decision not to allocate his case to a female Social Wor</w:t>
      </w:r>
      <w:r w:rsidR="007F2323">
        <w:rPr>
          <w:bCs/>
        </w:rPr>
        <w:t>ker</w:t>
      </w:r>
      <w:r w:rsidR="00E24623">
        <w:rPr>
          <w:bCs/>
        </w:rPr>
        <w:t xml:space="preserve">. </w:t>
      </w:r>
      <w:r w:rsidR="00583DD8">
        <w:rPr>
          <w:bCs/>
        </w:rPr>
        <w:t>In this regard, the r</w:t>
      </w:r>
      <w:r w:rsidR="00EE2B19">
        <w:rPr>
          <w:bCs/>
        </w:rPr>
        <w:t xml:space="preserve">isk management </w:t>
      </w:r>
      <w:r w:rsidR="007F2323">
        <w:rPr>
          <w:bCs/>
        </w:rPr>
        <w:t>approach varied across the partnership</w:t>
      </w:r>
      <w:r w:rsidR="00EE2B19">
        <w:rPr>
          <w:bCs/>
        </w:rPr>
        <w:t>. O</w:t>
      </w:r>
      <w:r w:rsidR="00E24623">
        <w:rPr>
          <w:bCs/>
        </w:rPr>
        <w:t xml:space="preserve">nly the police and Adult Social Care were aware of </w:t>
      </w:r>
      <w:r w:rsidR="00583DD8">
        <w:rPr>
          <w:bCs/>
        </w:rPr>
        <w:t>an identified risk to female staff</w:t>
      </w:r>
      <w:r w:rsidR="00E24623">
        <w:rPr>
          <w:bCs/>
        </w:rPr>
        <w:t>.</w:t>
      </w:r>
      <w:r w:rsidR="00E24623" w:rsidRPr="007022FD">
        <w:rPr>
          <w:bCs/>
        </w:rPr>
        <w:t xml:space="preserve"> </w:t>
      </w:r>
      <w:r w:rsidR="00563C51">
        <w:rPr>
          <w:bCs/>
        </w:rPr>
        <w:t>Francis’</w:t>
      </w:r>
      <w:r w:rsidR="00E24623" w:rsidRPr="006F68FD">
        <w:rPr>
          <w:bCs/>
        </w:rPr>
        <w:t xml:space="preserve"> GP practice, Acute Hospital Trust (including Accident &amp; Emergency Department) were all unaware </w:t>
      </w:r>
      <w:r w:rsidR="00662A5D">
        <w:rPr>
          <w:bCs/>
        </w:rPr>
        <w:t xml:space="preserve">that he may </w:t>
      </w:r>
      <w:r w:rsidR="00E24623">
        <w:rPr>
          <w:bCs/>
        </w:rPr>
        <w:t xml:space="preserve">pose a higher </w:t>
      </w:r>
      <w:r w:rsidR="00E24623" w:rsidRPr="006F68FD">
        <w:rPr>
          <w:bCs/>
        </w:rPr>
        <w:t>risk to female</w:t>
      </w:r>
      <w:r w:rsidR="00E24623">
        <w:rPr>
          <w:bCs/>
        </w:rPr>
        <w:t xml:space="preserve"> staff</w:t>
      </w:r>
      <w:r w:rsidR="00E24623" w:rsidRPr="006F68FD">
        <w:rPr>
          <w:bCs/>
        </w:rPr>
        <w:t>.</w:t>
      </w:r>
      <w:r w:rsidR="0057462B">
        <w:rPr>
          <w:bCs/>
        </w:rPr>
        <w:t xml:space="preserve"> </w:t>
      </w:r>
      <w:r w:rsidR="00C23C71">
        <w:rPr>
          <w:bCs/>
        </w:rPr>
        <w:t xml:space="preserve">In the case of </w:t>
      </w:r>
      <w:r w:rsidR="00563C51">
        <w:rPr>
          <w:bCs/>
        </w:rPr>
        <w:t>Francis</w:t>
      </w:r>
      <w:r w:rsidR="00730477">
        <w:rPr>
          <w:bCs/>
        </w:rPr>
        <w:t>,</w:t>
      </w:r>
      <w:r w:rsidR="00C23C71">
        <w:rPr>
          <w:bCs/>
        </w:rPr>
        <w:t xml:space="preserve"> </w:t>
      </w:r>
      <w:r w:rsidR="0074515F">
        <w:rPr>
          <w:bCs/>
        </w:rPr>
        <w:t xml:space="preserve">opportunities for </w:t>
      </w:r>
      <w:r w:rsidR="00604A11">
        <w:rPr>
          <w:bCs/>
        </w:rPr>
        <w:t xml:space="preserve">multi-agency </w:t>
      </w:r>
      <w:r w:rsidR="0074515F">
        <w:rPr>
          <w:bCs/>
        </w:rPr>
        <w:t xml:space="preserve">risk assessment and management existed through safeguarding </w:t>
      </w:r>
      <w:r w:rsidR="00604A11">
        <w:rPr>
          <w:bCs/>
        </w:rPr>
        <w:t xml:space="preserve">and </w:t>
      </w:r>
      <w:r w:rsidR="0074515F">
        <w:rPr>
          <w:bCs/>
        </w:rPr>
        <w:t>professionals meetings processes</w:t>
      </w:r>
      <w:r w:rsidR="00F53DE5">
        <w:rPr>
          <w:bCs/>
        </w:rPr>
        <w:t xml:space="preserve"> which could have facilitated </w:t>
      </w:r>
      <w:r w:rsidR="00E772A2">
        <w:rPr>
          <w:bCs/>
        </w:rPr>
        <w:t>a</w:t>
      </w:r>
      <w:r w:rsidR="00680E43">
        <w:rPr>
          <w:bCs/>
        </w:rPr>
        <w:t xml:space="preserve"> minimum </w:t>
      </w:r>
      <w:r w:rsidR="00E772A2">
        <w:rPr>
          <w:bCs/>
        </w:rPr>
        <w:t xml:space="preserve">amount </w:t>
      </w:r>
      <w:r w:rsidR="003B4BC9">
        <w:rPr>
          <w:bCs/>
        </w:rPr>
        <w:t xml:space="preserve">of </w:t>
      </w:r>
      <w:r w:rsidR="00680E43">
        <w:rPr>
          <w:bCs/>
        </w:rPr>
        <w:t xml:space="preserve">information </w:t>
      </w:r>
      <w:r w:rsidR="003B4BC9">
        <w:rPr>
          <w:bCs/>
        </w:rPr>
        <w:t>sharing</w:t>
      </w:r>
      <w:r w:rsidR="00F53DE5">
        <w:rPr>
          <w:bCs/>
        </w:rPr>
        <w:t xml:space="preserve">, </w:t>
      </w:r>
      <w:r w:rsidR="003B4BC9">
        <w:rPr>
          <w:bCs/>
        </w:rPr>
        <w:t xml:space="preserve">necessary </w:t>
      </w:r>
      <w:r w:rsidR="00680E43">
        <w:rPr>
          <w:bCs/>
        </w:rPr>
        <w:t xml:space="preserve">to enable safe working practices. </w:t>
      </w:r>
    </w:p>
    <w:p w14:paraId="3B973939" w14:textId="77777777" w:rsidR="002E2BE2" w:rsidRDefault="002E2BE2" w:rsidP="002E2BE2">
      <w:pPr>
        <w:rPr>
          <w:bCs/>
        </w:rPr>
      </w:pPr>
    </w:p>
    <w:p w14:paraId="075E22CB" w14:textId="77777777" w:rsidR="002E2BE2" w:rsidRDefault="002E2BE2" w:rsidP="002E2BE2">
      <w:pPr>
        <w:pStyle w:val="Findingtext"/>
      </w:pPr>
    </w:p>
    <w:p w14:paraId="4169830A" w14:textId="31581C56" w:rsidR="002E2BE2" w:rsidRDefault="002E2BE2" w:rsidP="002E2BE2">
      <w:pPr>
        <w:pStyle w:val="FindingTitle"/>
      </w:pPr>
      <w:bookmarkStart w:id="29" w:name="_Toc165109326"/>
      <w:r>
        <w:t xml:space="preserve">Finding </w:t>
      </w:r>
      <w:proofErr w:type="spellStart"/>
      <w:r w:rsidR="00416302">
        <w:t>4b</w:t>
      </w:r>
      <w:proofErr w:type="spellEnd"/>
      <w:r>
        <w:t xml:space="preserve">: </w:t>
      </w:r>
      <w:r w:rsidR="00B36AB9">
        <w:t>Multi-agency risk management</w:t>
      </w:r>
      <w:bookmarkEnd w:id="29"/>
    </w:p>
    <w:p w14:paraId="07D4E071" w14:textId="77777777" w:rsidR="002E2BE2" w:rsidRDefault="002E2BE2" w:rsidP="002E2BE2">
      <w:pPr>
        <w:pStyle w:val="Findingtext"/>
      </w:pPr>
    </w:p>
    <w:p w14:paraId="0CB2FF4F" w14:textId="77777777" w:rsidR="002E2BE2" w:rsidRPr="007354B8" w:rsidRDefault="002E2BE2" w:rsidP="002E2BE2">
      <w:pPr>
        <w:pStyle w:val="Findingtext"/>
        <w:rPr>
          <w:b/>
          <w:bCs/>
        </w:rPr>
      </w:pPr>
      <w:r w:rsidRPr="007354B8">
        <w:rPr>
          <w:b/>
          <w:bCs/>
        </w:rPr>
        <w:t>Underlying issue</w:t>
      </w:r>
    </w:p>
    <w:p w14:paraId="77246A92" w14:textId="33103AA1" w:rsidR="002E2BE2" w:rsidRDefault="00B611A6" w:rsidP="002E2BE2">
      <w:pPr>
        <w:pStyle w:val="Findingtext"/>
      </w:pPr>
      <w:r>
        <w:t xml:space="preserve">Information about serious risks to female members of staff and informal support was known by only two agencies supporting </w:t>
      </w:r>
      <w:r w:rsidR="00563C51">
        <w:t>Francis</w:t>
      </w:r>
      <w:r>
        <w:t xml:space="preserve">. Other agencies </w:t>
      </w:r>
      <w:r w:rsidR="00F7056D">
        <w:t xml:space="preserve">were unaware of information </w:t>
      </w:r>
      <w:r w:rsidR="00BE4D5C">
        <w:t>that would have been necessary to ensure safe working practices and the protection of vulnerable others in his network, including children – potentially putting them at unnecessary risk</w:t>
      </w:r>
      <w:r w:rsidR="00945A3A">
        <w:t>.</w:t>
      </w:r>
    </w:p>
    <w:p w14:paraId="4B194784" w14:textId="77777777" w:rsidR="002E2BE2" w:rsidRDefault="002E2BE2" w:rsidP="002E2BE2">
      <w:pPr>
        <w:pStyle w:val="Findingtext"/>
      </w:pPr>
    </w:p>
    <w:p w14:paraId="23D9831F" w14:textId="73D8E1BB" w:rsidR="002E2BE2" w:rsidRPr="007354B8" w:rsidRDefault="00F87949" w:rsidP="002E2BE2">
      <w:pPr>
        <w:pStyle w:val="Findingtext"/>
        <w:rPr>
          <w:b/>
          <w:bCs/>
        </w:rPr>
      </w:pPr>
      <w:r>
        <w:rPr>
          <w:b/>
          <w:bCs/>
        </w:rPr>
        <w:t>Rationale for change</w:t>
      </w:r>
    </w:p>
    <w:p w14:paraId="0DCC8500" w14:textId="22A5856C" w:rsidR="00411998" w:rsidRDefault="00F53DE5" w:rsidP="00411998">
      <w:pPr>
        <w:pStyle w:val="Findingtext"/>
      </w:pPr>
      <w:r>
        <w:rPr>
          <w:bCs/>
        </w:rPr>
        <w:t xml:space="preserve">Had agencies combined intelligence </w:t>
      </w:r>
      <w:r w:rsidR="00977FF6">
        <w:rPr>
          <w:bCs/>
        </w:rPr>
        <w:t xml:space="preserve">during safeguarding or other multi-agency processes </w:t>
      </w:r>
      <w:r>
        <w:rPr>
          <w:bCs/>
        </w:rPr>
        <w:t xml:space="preserve">about risk they would have been better informed and able to respond and make informed decisions about their personal safety and that of others in </w:t>
      </w:r>
      <w:r w:rsidR="00563C51">
        <w:rPr>
          <w:bCs/>
        </w:rPr>
        <w:t>Francis’</w:t>
      </w:r>
      <w:r>
        <w:rPr>
          <w:bCs/>
        </w:rPr>
        <w:t xml:space="preserve"> network.</w:t>
      </w:r>
      <w:r w:rsidR="008D37E7">
        <w:rPr>
          <w:bCs/>
        </w:rPr>
        <w:t xml:space="preserve"> </w:t>
      </w:r>
      <w:r w:rsidR="00411998">
        <w:t>The balancing of confidentiality and respect for privacy and family life should not be a barrier to multi-agency risks assessment and management in the context of safeguarding risks and danger to staff.</w:t>
      </w:r>
    </w:p>
    <w:p w14:paraId="1DB68165" w14:textId="77777777" w:rsidR="002E2BE2" w:rsidRDefault="002E2BE2" w:rsidP="002E2BE2">
      <w:pPr>
        <w:pStyle w:val="Findingtext"/>
      </w:pPr>
    </w:p>
    <w:p w14:paraId="7D8EAEAB" w14:textId="0595E3FD" w:rsidR="002E2BE2" w:rsidRDefault="00F87949" w:rsidP="002E2BE2">
      <w:pPr>
        <w:pStyle w:val="Findingtext"/>
        <w:rPr>
          <w:b/>
          <w:bCs/>
        </w:rPr>
      </w:pPr>
      <w:r>
        <w:rPr>
          <w:b/>
          <w:bCs/>
        </w:rPr>
        <w:t>Questions for the Safeguarding Adults Board</w:t>
      </w:r>
    </w:p>
    <w:p w14:paraId="79B6F6C0" w14:textId="77777777" w:rsidR="00F87949" w:rsidRDefault="00F87949" w:rsidP="002E2BE2">
      <w:pPr>
        <w:pStyle w:val="Findingtext"/>
        <w:rPr>
          <w:b/>
          <w:bCs/>
        </w:rPr>
      </w:pPr>
    </w:p>
    <w:p w14:paraId="4509C76F" w14:textId="58C62BBA" w:rsidR="00E33470" w:rsidRPr="003A6EDF" w:rsidRDefault="00E33470" w:rsidP="00E33470">
      <w:pPr>
        <w:pBdr>
          <w:top w:val="single" w:sz="4" w:space="1" w:color="auto"/>
          <w:left w:val="single" w:sz="4" w:space="4" w:color="auto"/>
          <w:bottom w:val="single" w:sz="4" w:space="1" w:color="auto"/>
          <w:right w:val="single" w:sz="4" w:space="4" w:color="auto"/>
        </w:pBdr>
        <w:shd w:val="clear" w:color="auto" w:fill="D3C1FF"/>
        <w:ind w:left="1701" w:hanging="1701"/>
        <w:rPr>
          <w:rFonts w:eastAsia="Calibri" w:cs="Arial"/>
        </w:rPr>
      </w:pPr>
      <w:r w:rsidRPr="003A6EDF">
        <w:rPr>
          <w:rFonts w:eastAsia="Calibri" w:cs="Arial"/>
          <w:b/>
          <w:bCs/>
        </w:rPr>
        <w:t xml:space="preserve">Finding </w:t>
      </w:r>
      <w:proofErr w:type="spellStart"/>
      <w:r w:rsidR="00416302">
        <w:rPr>
          <w:rFonts w:eastAsia="Calibri" w:cs="Arial"/>
          <w:b/>
          <w:bCs/>
        </w:rPr>
        <w:t>4b</w:t>
      </w:r>
      <w:proofErr w:type="spellEnd"/>
      <w:r w:rsidRPr="003A6EDF">
        <w:rPr>
          <w:rFonts w:eastAsia="Calibri" w:cs="Arial"/>
          <w:b/>
          <w:bCs/>
        </w:rPr>
        <w:t xml:space="preserve">, </w:t>
      </w:r>
      <w:proofErr w:type="spellStart"/>
      <w:r w:rsidRPr="003A6EDF">
        <w:rPr>
          <w:rFonts w:eastAsia="Calibri" w:cs="Arial"/>
          <w:b/>
          <w:bCs/>
        </w:rPr>
        <w:t>Q1</w:t>
      </w:r>
      <w:proofErr w:type="spellEnd"/>
      <w:r w:rsidRPr="003A6EDF">
        <w:rPr>
          <w:rFonts w:eastAsia="Calibri" w:cs="Arial"/>
          <w:b/>
          <w:bCs/>
        </w:rPr>
        <w:t>:</w:t>
      </w:r>
      <w:r w:rsidRPr="003A6EDF">
        <w:rPr>
          <w:rFonts w:eastAsia="Calibri" w:cs="Arial"/>
          <w:b/>
          <w:bCs/>
        </w:rPr>
        <w:tab/>
      </w:r>
      <w:r w:rsidR="002900B5" w:rsidRPr="000C0861">
        <w:rPr>
          <w:rFonts w:eastAsia="Calibri" w:cs="Arial"/>
        </w:rPr>
        <w:t>How</w:t>
      </w:r>
      <w:r w:rsidR="002900B5">
        <w:rPr>
          <w:rFonts w:eastAsia="Calibri" w:cs="Arial"/>
          <w:b/>
          <w:bCs/>
        </w:rPr>
        <w:t xml:space="preserve"> </w:t>
      </w:r>
      <w:r w:rsidR="002900B5">
        <w:rPr>
          <w:rFonts w:eastAsia="Calibri" w:cs="Arial"/>
        </w:rPr>
        <w:t xml:space="preserve">can </w:t>
      </w:r>
      <w:r w:rsidR="00C23D8B">
        <w:rPr>
          <w:rFonts w:eastAsia="Calibri" w:cs="Arial"/>
        </w:rPr>
        <w:t xml:space="preserve">the Board be assured that risk information is reviewed </w:t>
      </w:r>
      <w:r w:rsidR="005C757A">
        <w:rPr>
          <w:rFonts w:eastAsia="Calibri" w:cs="Arial"/>
        </w:rPr>
        <w:t xml:space="preserve">and updated in the context of multi-agency safeguarding </w:t>
      </w:r>
      <w:r w:rsidR="009D3449">
        <w:rPr>
          <w:rFonts w:eastAsia="Calibri" w:cs="Arial"/>
        </w:rPr>
        <w:t>or risk processes?</w:t>
      </w:r>
    </w:p>
    <w:p w14:paraId="07B8125F" w14:textId="4CDC5F25" w:rsidR="00F26741" w:rsidRPr="00C0570A" w:rsidRDefault="00F26741" w:rsidP="00F26741">
      <w:pPr>
        <w:pBdr>
          <w:top w:val="single" w:sz="4" w:space="1" w:color="auto"/>
          <w:left w:val="single" w:sz="4" w:space="4" w:color="auto"/>
          <w:bottom w:val="single" w:sz="4" w:space="1" w:color="auto"/>
          <w:right w:val="single" w:sz="4" w:space="4" w:color="auto"/>
        </w:pBdr>
        <w:shd w:val="clear" w:color="auto" w:fill="D3C1FF"/>
        <w:ind w:left="1701" w:hanging="1701"/>
        <w:rPr>
          <w:rFonts w:eastAsia="Calibri" w:cs="Arial"/>
          <w:b/>
          <w:bCs/>
        </w:rPr>
      </w:pPr>
      <w:r>
        <w:rPr>
          <w:rFonts w:eastAsia="Calibri" w:cs="Arial"/>
          <w:b/>
          <w:bCs/>
        </w:rPr>
        <w:t xml:space="preserve">Finding </w:t>
      </w:r>
      <w:proofErr w:type="spellStart"/>
      <w:r>
        <w:rPr>
          <w:rFonts w:eastAsia="Calibri" w:cs="Arial"/>
          <w:b/>
          <w:bCs/>
        </w:rPr>
        <w:t>4b</w:t>
      </w:r>
      <w:proofErr w:type="spellEnd"/>
      <w:r>
        <w:rPr>
          <w:rFonts w:eastAsia="Calibri" w:cs="Arial"/>
          <w:b/>
          <w:bCs/>
        </w:rPr>
        <w:t xml:space="preserve">, </w:t>
      </w:r>
      <w:proofErr w:type="spellStart"/>
      <w:r>
        <w:rPr>
          <w:rFonts w:eastAsia="Calibri" w:cs="Arial"/>
          <w:b/>
          <w:bCs/>
        </w:rPr>
        <w:t>Q2</w:t>
      </w:r>
      <w:proofErr w:type="spellEnd"/>
      <w:r>
        <w:rPr>
          <w:rFonts w:eastAsia="Calibri" w:cs="Arial"/>
          <w:b/>
          <w:bCs/>
        </w:rPr>
        <w:t>:</w:t>
      </w:r>
      <w:r>
        <w:rPr>
          <w:rFonts w:eastAsia="Calibri" w:cs="Arial"/>
        </w:rPr>
        <w:tab/>
        <w:t>How c</w:t>
      </w:r>
      <w:r w:rsidRPr="00D75995">
        <w:rPr>
          <w:rFonts w:eastAsia="Calibri" w:cs="Arial"/>
        </w:rPr>
        <w:t>a</w:t>
      </w:r>
      <w:r>
        <w:rPr>
          <w:rFonts w:eastAsia="Calibri" w:cs="Arial"/>
        </w:rPr>
        <w:t xml:space="preserve">n the Board use the launch of new Information Sharing guidance to promote training and re-affirmation of commitments to high-quality information sharing in safeguarding processes? </w:t>
      </w:r>
    </w:p>
    <w:p w14:paraId="1CE60629" w14:textId="4F904C07" w:rsidR="00186616" w:rsidRDefault="00186616" w:rsidP="00E33470">
      <w:pPr>
        <w:pStyle w:val="Findingtext"/>
        <w:ind w:left="1701" w:hanging="1701"/>
      </w:pPr>
      <w:r>
        <w:rPr>
          <w:b/>
          <w:bCs/>
        </w:rPr>
        <w:t xml:space="preserve">Finding </w:t>
      </w:r>
      <w:proofErr w:type="spellStart"/>
      <w:r w:rsidR="00416302">
        <w:rPr>
          <w:b/>
          <w:bCs/>
        </w:rPr>
        <w:t>4b</w:t>
      </w:r>
      <w:proofErr w:type="spellEnd"/>
      <w:r>
        <w:rPr>
          <w:b/>
          <w:bCs/>
        </w:rPr>
        <w:t xml:space="preserve">, </w:t>
      </w:r>
      <w:proofErr w:type="spellStart"/>
      <w:r>
        <w:rPr>
          <w:b/>
          <w:bCs/>
        </w:rPr>
        <w:t>Q3</w:t>
      </w:r>
      <w:proofErr w:type="spellEnd"/>
      <w:r>
        <w:rPr>
          <w:b/>
          <w:bCs/>
        </w:rPr>
        <w:t>:</w:t>
      </w:r>
      <w:r>
        <w:tab/>
      </w:r>
      <w:r w:rsidR="003B5329">
        <w:t xml:space="preserve">How can the safeguarding system support </w:t>
      </w:r>
      <w:r w:rsidR="002D5005">
        <w:t xml:space="preserve">information-sharing and protect staff from harm where </w:t>
      </w:r>
      <w:r w:rsidR="008319AC">
        <w:t xml:space="preserve">there is </w:t>
      </w:r>
      <w:r w:rsidR="002D5005">
        <w:t xml:space="preserve">a known risk </w:t>
      </w:r>
      <w:r w:rsidR="008319AC">
        <w:t>of harm</w:t>
      </w:r>
      <w:r w:rsidR="009D3449">
        <w:t>?</w:t>
      </w:r>
    </w:p>
    <w:p w14:paraId="592674A8" w14:textId="77777777" w:rsidR="00186616" w:rsidRPr="000C0861" w:rsidRDefault="00186616" w:rsidP="000C0861">
      <w:pPr>
        <w:pStyle w:val="Findingtext"/>
        <w:ind w:left="1701" w:hanging="1701"/>
      </w:pPr>
    </w:p>
    <w:p w14:paraId="2B320F68" w14:textId="34D699BF" w:rsidR="00F87949" w:rsidRPr="000C0861" w:rsidRDefault="00F87949" w:rsidP="002E2BE2">
      <w:pPr>
        <w:pStyle w:val="Findingtext"/>
        <w:rPr>
          <w:b/>
        </w:rPr>
      </w:pPr>
      <w:r w:rsidRPr="000C0861">
        <w:rPr>
          <w:b/>
        </w:rPr>
        <w:t>Impact and measurement</w:t>
      </w:r>
    </w:p>
    <w:p w14:paraId="30844704" w14:textId="53695721" w:rsidR="002E2BE2" w:rsidRDefault="00B30AF0" w:rsidP="002E2BE2">
      <w:pPr>
        <w:pStyle w:val="Findingtext"/>
      </w:pPr>
      <w:r w:rsidRPr="00B30AF0">
        <w:t>This finding is about good practice in information-sharing, multi-agency risk assessment and management, and the protection of practitioners working with individuals who may present a risk of harm to members of staff. Actions may focus on multi-agency risk assessment and management processes, such as safeguarding or professionals meetings, on the forms and recording systems at key points in safeguarding, and on how the multi-agency system can support and protect staff from harm where there is known or knowable risk. Measuring the impact of actions in this finding may include a mapping of agency and multi-agency recording, forms, and pathways, and of staff safety procedures across the area, including system alerts, warnings, and flags</w:t>
      </w:r>
      <w:r w:rsidR="007C3BE3">
        <w:t>.</w:t>
      </w:r>
    </w:p>
    <w:p w14:paraId="0089AA5A" w14:textId="77777777" w:rsidR="00F87949" w:rsidRDefault="00F87949" w:rsidP="002E2BE2">
      <w:pPr>
        <w:pStyle w:val="Findingtext"/>
      </w:pPr>
    </w:p>
    <w:p w14:paraId="6C8F6502" w14:textId="529C5B41" w:rsidR="002E2BE2" w:rsidRDefault="002E2BE2">
      <w:pPr>
        <w:spacing w:after="160" w:line="259" w:lineRule="auto"/>
        <w:rPr>
          <w:bCs/>
        </w:rPr>
      </w:pPr>
    </w:p>
    <w:p w14:paraId="38C4379F" w14:textId="64A1ED8D" w:rsidR="002E2BE2" w:rsidRDefault="002E2BE2" w:rsidP="002E2BE2">
      <w:pPr>
        <w:pStyle w:val="Heading2"/>
        <w:spacing w:after="0"/>
      </w:pPr>
      <w:bookmarkStart w:id="30" w:name="_Toc165109327"/>
      <w:r>
        <w:t xml:space="preserve">TOR </w:t>
      </w:r>
      <w:r w:rsidR="00D14DAB">
        <w:t>5</w:t>
      </w:r>
      <w:r>
        <w:t xml:space="preserve">: </w:t>
      </w:r>
      <w:r w:rsidR="00D14DAB">
        <w:t>Community Pharmacy role in safeguarding process</w:t>
      </w:r>
      <w:bookmarkEnd w:id="30"/>
    </w:p>
    <w:p w14:paraId="5A96AD9F" w14:textId="4C5A66B6" w:rsidR="002E2BE2" w:rsidRPr="00D357F5" w:rsidRDefault="00A600D8" w:rsidP="002E2BE2">
      <w:pPr>
        <w:rPr>
          <w:bCs/>
          <w:i/>
          <w:iCs/>
        </w:rPr>
      </w:pPr>
      <w:r>
        <w:rPr>
          <w:bCs/>
          <w:i/>
          <w:iCs/>
        </w:rPr>
        <w:t>What was the role of community pharmacy in this case, especially in relation to safeguarding?</w:t>
      </w:r>
    </w:p>
    <w:p w14:paraId="59EC5676" w14:textId="77777777" w:rsidR="002E2BE2" w:rsidRDefault="002E2BE2" w:rsidP="002E2BE2">
      <w:pPr>
        <w:rPr>
          <w:bCs/>
        </w:rPr>
      </w:pPr>
    </w:p>
    <w:p w14:paraId="5ABDD431" w14:textId="77777777" w:rsidR="002E2BE2" w:rsidRPr="00FE33D8" w:rsidRDefault="002E2BE2" w:rsidP="002E2BE2">
      <w:pPr>
        <w:rPr>
          <w:b/>
        </w:rPr>
      </w:pPr>
      <w:r w:rsidRPr="00FE33D8">
        <w:rPr>
          <w:b/>
        </w:rPr>
        <w:t>Context</w:t>
      </w:r>
    </w:p>
    <w:p w14:paraId="192C2E1B" w14:textId="27D51220" w:rsidR="00A975DE" w:rsidRDefault="001D074E" w:rsidP="002E2BE2">
      <w:pPr>
        <w:rPr>
          <w:bCs/>
        </w:rPr>
      </w:pPr>
      <w:r>
        <w:rPr>
          <w:bCs/>
        </w:rPr>
        <w:t xml:space="preserve">Community Pharmacies </w:t>
      </w:r>
      <w:r w:rsidR="00AE2AF6">
        <w:rPr>
          <w:bCs/>
        </w:rPr>
        <w:t>are a useful resource for individuals in the community who need help with a range of medical and health issues</w:t>
      </w:r>
      <w:r w:rsidR="009C26D5">
        <w:rPr>
          <w:bCs/>
        </w:rPr>
        <w:t xml:space="preserve">, offering prescription dispensing and advice on many health ailments and over-the-counter medicines. </w:t>
      </w:r>
      <w:r w:rsidR="00781974">
        <w:rPr>
          <w:bCs/>
        </w:rPr>
        <w:t xml:space="preserve">Pharmacists are also able to support with </w:t>
      </w:r>
      <w:r w:rsidR="00F3371E">
        <w:rPr>
          <w:bCs/>
        </w:rPr>
        <w:t>immunisations, and regular medication administration</w:t>
      </w:r>
      <w:r w:rsidR="00AB396D">
        <w:rPr>
          <w:bCs/>
        </w:rPr>
        <w:t>.</w:t>
      </w:r>
      <w:r w:rsidR="008C3C60">
        <w:rPr>
          <w:bCs/>
        </w:rPr>
        <w:t xml:space="preserve"> Pharmacists are experts in the properties and uses of medicines as well as their </w:t>
      </w:r>
      <w:r w:rsidR="00250F69">
        <w:rPr>
          <w:bCs/>
        </w:rPr>
        <w:t>interactions with other drugs</w:t>
      </w:r>
      <w:r w:rsidR="0048647B">
        <w:rPr>
          <w:bCs/>
        </w:rPr>
        <w:t xml:space="preserve">, </w:t>
      </w:r>
      <w:r w:rsidR="00250F69">
        <w:rPr>
          <w:bCs/>
        </w:rPr>
        <w:t>contra-indications</w:t>
      </w:r>
      <w:r w:rsidR="0048647B">
        <w:rPr>
          <w:bCs/>
        </w:rPr>
        <w:t>,</w:t>
      </w:r>
      <w:r w:rsidR="00250F69">
        <w:rPr>
          <w:bCs/>
        </w:rPr>
        <w:t xml:space="preserve"> and side effects.</w:t>
      </w:r>
      <w:r w:rsidR="00996C61">
        <w:rPr>
          <w:bCs/>
        </w:rPr>
        <w:t xml:space="preserve"> As such a Community Pharmacist is able to offer advice on all aspects of an individuals’ use of medicines and drugs – prescribed and non-prescribed.</w:t>
      </w:r>
      <w:r w:rsidR="00F91BA0">
        <w:rPr>
          <w:bCs/>
        </w:rPr>
        <w:t xml:space="preserve"> </w:t>
      </w:r>
      <w:r w:rsidR="00AB396D">
        <w:rPr>
          <w:bCs/>
        </w:rPr>
        <w:t xml:space="preserve">The frequency of medicine prescriptions </w:t>
      </w:r>
      <w:r w:rsidR="00996C61">
        <w:rPr>
          <w:bCs/>
        </w:rPr>
        <w:t xml:space="preserve">and dispensing </w:t>
      </w:r>
      <w:r w:rsidR="00AB396D">
        <w:rPr>
          <w:bCs/>
        </w:rPr>
        <w:t xml:space="preserve">can vary by </w:t>
      </w:r>
      <w:r w:rsidR="008C3C60">
        <w:rPr>
          <w:bCs/>
        </w:rPr>
        <w:t xml:space="preserve">medicine </w:t>
      </w:r>
      <w:r w:rsidR="00996C61">
        <w:rPr>
          <w:bCs/>
        </w:rPr>
        <w:t xml:space="preserve">and by patient. When </w:t>
      </w:r>
      <w:r w:rsidR="00141508">
        <w:rPr>
          <w:bCs/>
        </w:rPr>
        <w:t>there a</w:t>
      </w:r>
      <w:r w:rsidR="00EA3581">
        <w:rPr>
          <w:bCs/>
        </w:rPr>
        <w:t>re</w:t>
      </w:r>
      <w:r w:rsidR="00141508">
        <w:rPr>
          <w:bCs/>
        </w:rPr>
        <w:t xml:space="preserve"> risk</w:t>
      </w:r>
      <w:r w:rsidR="00EA3581">
        <w:rPr>
          <w:bCs/>
        </w:rPr>
        <w:t xml:space="preserve">s associated with dispensing of large quantities of medication of </w:t>
      </w:r>
      <w:r w:rsidR="00141508">
        <w:rPr>
          <w:bCs/>
        </w:rPr>
        <w:t>prescribed medication</w:t>
      </w:r>
      <w:r w:rsidR="00EA3581">
        <w:rPr>
          <w:bCs/>
        </w:rPr>
        <w:t xml:space="preserve">, such as abuse or </w:t>
      </w:r>
      <w:r w:rsidR="00141508">
        <w:rPr>
          <w:bCs/>
        </w:rPr>
        <w:t>misuse</w:t>
      </w:r>
      <w:r w:rsidR="00EA3581">
        <w:rPr>
          <w:bCs/>
        </w:rPr>
        <w:t xml:space="preserve">, then medications may </w:t>
      </w:r>
      <w:r w:rsidR="00A975DE">
        <w:rPr>
          <w:bCs/>
        </w:rPr>
        <w:t xml:space="preserve">need to be </w:t>
      </w:r>
      <w:r w:rsidR="00EA3581">
        <w:rPr>
          <w:bCs/>
        </w:rPr>
        <w:t>dispensed more often</w:t>
      </w:r>
      <w:r w:rsidR="00A975DE">
        <w:rPr>
          <w:bCs/>
        </w:rPr>
        <w:t>, even daily. In some situations, medications may be provided dose by dose, or under supervision.</w:t>
      </w:r>
      <w:r w:rsidR="00F91BA0">
        <w:rPr>
          <w:bCs/>
        </w:rPr>
        <w:t xml:space="preserve"> </w:t>
      </w:r>
      <w:r w:rsidR="00A975DE">
        <w:rPr>
          <w:bCs/>
        </w:rPr>
        <w:t xml:space="preserve">In the context of safeguarding a Community Pharmacist </w:t>
      </w:r>
      <w:r w:rsidR="00FA0D0E">
        <w:rPr>
          <w:bCs/>
        </w:rPr>
        <w:t xml:space="preserve">may </w:t>
      </w:r>
      <w:r w:rsidR="00A975DE">
        <w:rPr>
          <w:bCs/>
        </w:rPr>
        <w:t>see an individual regularly</w:t>
      </w:r>
      <w:r w:rsidR="008137C0">
        <w:rPr>
          <w:bCs/>
        </w:rPr>
        <w:t xml:space="preserve"> and develop a </w:t>
      </w:r>
      <w:r w:rsidR="001D26B0">
        <w:rPr>
          <w:bCs/>
        </w:rPr>
        <w:t xml:space="preserve">good working knowledge </w:t>
      </w:r>
      <w:r w:rsidR="008137C0">
        <w:rPr>
          <w:bCs/>
        </w:rPr>
        <w:t xml:space="preserve">and relationship. </w:t>
      </w:r>
      <w:r w:rsidR="00FA2C68">
        <w:rPr>
          <w:bCs/>
        </w:rPr>
        <w:t xml:space="preserve">This </w:t>
      </w:r>
      <w:r w:rsidR="00CA0DEA">
        <w:rPr>
          <w:bCs/>
        </w:rPr>
        <w:t>could be of use within a safeguarding process</w:t>
      </w:r>
      <w:r w:rsidR="00FA2C68">
        <w:rPr>
          <w:bCs/>
        </w:rPr>
        <w:t xml:space="preserve"> in assessment of risk, information-sharing, and protective interventions</w:t>
      </w:r>
      <w:r w:rsidR="009E6C2F">
        <w:rPr>
          <w:bCs/>
        </w:rPr>
        <w:t xml:space="preserve">, yet </w:t>
      </w:r>
      <w:r w:rsidR="00480C1B">
        <w:rPr>
          <w:bCs/>
        </w:rPr>
        <w:t>often p</w:t>
      </w:r>
      <w:r w:rsidR="009E6C2F">
        <w:rPr>
          <w:bCs/>
        </w:rPr>
        <w:t xml:space="preserve">harmacies </w:t>
      </w:r>
      <w:r w:rsidR="00FA2C68">
        <w:rPr>
          <w:bCs/>
        </w:rPr>
        <w:t xml:space="preserve">and </w:t>
      </w:r>
      <w:r w:rsidR="00480C1B">
        <w:rPr>
          <w:bCs/>
        </w:rPr>
        <w:t xml:space="preserve">may </w:t>
      </w:r>
      <w:r w:rsidR="009E6C2F">
        <w:rPr>
          <w:bCs/>
        </w:rPr>
        <w:t xml:space="preserve">remain an underused resource in safeguarding </w:t>
      </w:r>
      <w:r w:rsidR="00480C1B">
        <w:rPr>
          <w:bCs/>
        </w:rPr>
        <w:t>processes</w:t>
      </w:r>
      <w:r w:rsidR="00CA0DEA">
        <w:rPr>
          <w:bCs/>
        </w:rPr>
        <w:t>.</w:t>
      </w:r>
      <w:r w:rsidR="00373FB1">
        <w:rPr>
          <w:bCs/>
        </w:rPr>
        <w:t xml:space="preserve"> </w:t>
      </w:r>
    </w:p>
    <w:p w14:paraId="28E6E1CF" w14:textId="77777777" w:rsidR="002E2BE2" w:rsidRDefault="002E2BE2" w:rsidP="002E2BE2">
      <w:pPr>
        <w:rPr>
          <w:bCs/>
        </w:rPr>
      </w:pPr>
    </w:p>
    <w:p w14:paraId="689F554D" w14:textId="54DBCB1B" w:rsidR="002E2BE2" w:rsidRPr="00480C1B" w:rsidRDefault="002E2BE2" w:rsidP="002E2BE2">
      <w:pPr>
        <w:rPr>
          <w:b/>
        </w:rPr>
      </w:pPr>
      <w:r w:rsidRPr="00FE33D8">
        <w:rPr>
          <w:b/>
        </w:rPr>
        <w:t>Findings</w:t>
      </w:r>
    </w:p>
    <w:p w14:paraId="43985811" w14:textId="77777777" w:rsidR="002E2BE2" w:rsidRDefault="002E2BE2" w:rsidP="002E2BE2">
      <w:pPr>
        <w:rPr>
          <w:bCs/>
        </w:rPr>
      </w:pPr>
    </w:p>
    <w:p w14:paraId="03AD76C8" w14:textId="4E600D3C" w:rsidR="00FA6E27" w:rsidRDefault="00D37732" w:rsidP="002E2BE2">
      <w:pPr>
        <w:rPr>
          <w:bCs/>
        </w:rPr>
      </w:pPr>
      <w:r>
        <w:rPr>
          <w:bCs/>
        </w:rPr>
        <w:t xml:space="preserve">In the case of </w:t>
      </w:r>
      <w:r w:rsidR="00563C51">
        <w:rPr>
          <w:bCs/>
        </w:rPr>
        <w:t>Francis</w:t>
      </w:r>
      <w:r>
        <w:rPr>
          <w:bCs/>
        </w:rPr>
        <w:t xml:space="preserve"> there was evidence of communication between the Pharmacy and </w:t>
      </w:r>
      <w:r w:rsidR="00F67B53">
        <w:rPr>
          <w:bCs/>
        </w:rPr>
        <w:t>other health services in relation to missed medication doses and clinical matters</w:t>
      </w:r>
      <w:r w:rsidR="00CE753E">
        <w:rPr>
          <w:bCs/>
        </w:rPr>
        <w:t xml:space="preserve"> but not about safeguarding or </w:t>
      </w:r>
      <w:r w:rsidR="001039FB">
        <w:rPr>
          <w:bCs/>
        </w:rPr>
        <w:t>self-neglect.</w:t>
      </w:r>
      <w:r w:rsidR="00B84229">
        <w:rPr>
          <w:bCs/>
        </w:rPr>
        <w:t xml:space="preserve"> </w:t>
      </w:r>
      <w:r w:rsidR="000C5444">
        <w:rPr>
          <w:bCs/>
        </w:rPr>
        <w:t xml:space="preserve">Following an incident </w:t>
      </w:r>
      <w:r w:rsidR="00A97B44">
        <w:rPr>
          <w:bCs/>
        </w:rPr>
        <w:t xml:space="preserve">after </w:t>
      </w:r>
      <w:r w:rsidR="00563C51">
        <w:rPr>
          <w:bCs/>
        </w:rPr>
        <w:t>Francis</w:t>
      </w:r>
      <w:r w:rsidR="00A97B44">
        <w:rPr>
          <w:bCs/>
        </w:rPr>
        <w:t xml:space="preserve"> attended the pharmacy intoxicated and causing property damage, </w:t>
      </w:r>
      <w:r w:rsidR="00555FDC">
        <w:rPr>
          <w:bCs/>
        </w:rPr>
        <w:t xml:space="preserve">his nominated pharmacy stated that they could no longer offer him a service. </w:t>
      </w:r>
      <w:r w:rsidR="000035F0">
        <w:rPr>
          <w:bCs/>
        </w:rPr>
        <w:t>D</w:t>
      </w:r>
      <w:r w:rsidR="00B84229">
        <w:rPr>
          <w:bCs/>
        </w:rPr>
        <w:t xml:space="preserve">ifficulties with medication dispensing </w:t>
      </w:r>
      <w:r w:rsidR="000035F0">
        <w:rPr>
          <w:bCs/>
        </w:rPr>
        <w:t xml:space="preserve">dominated the interaction and role of the pharmacist in </w:t>
      </w:r>
      <w:r w:rsidR="00563C51">
        <w:rPr>
          <w:bCs/>
        </w:rPr>
        <w:t>Francis’</w:t>
      </w:r>
      <w:r w:rsidR="000035F0">
        <w:rPr>
          <w:bCs/>
        </w:rPr>
        <w:t xml:space="preserve"> </w:t>
      </w:r>
      <w:r w:rsidR="00BE3193">
        <w:rPr>
          <w:bCs/>
        </w:rPr>
        <w:t xml:space="preserve">case </w:t>
      </w:r>
      <w:r w:rsidR="001B5660">
        <w:rPr>
          <w:bCs/>
        </w:rPr>
        <w:t>–</w:t>
      </w:r>
      <w:r w:rsidR="00AB6E68">
        <w:rPr>
          <w:bCs/>
        </w:rPr>
        <w:t xml:space="preserve"> </w:t>
      </w:r>
      <w:r w:rsidR="001B5660">
        <w:rPr>
          <w:bCs/>
        </w:rPr>
        <w:t>medication not be</w:t>
      </w:r>
      <w:r w:rsidR="00BE3193">
        <w:rPr>
          <w:bCs/>
        </w:rPr>
        <w:t>ing</w:t>
      </w:r>
      <w:r w:rsidR="001B5660">
        <w:rPr>
          <w:bCs/>
        </w:rPr>
        <w:t xml:space="preserve"> dispensed</w:t>
      </w:r>
      <w:r w:rsidR="00555FDC">
        <w:rPr>
          <w:bCs/>
        </w:rPr>
        <w:t xml:space="preserve"> due to </w:t>
      </w:r>
      <w:r w:rsidR="00563C51">
        <w:rPr>
          <w:bCs/>
        </w:rPr>
        <w:t>Francis’</w:t>
      </w:r>
      <w:r w:rsidR="000C5444">
        <w:rPr>
          <w:bCs/>
        </w:rPr>
        <w:t xml:space="preserve"> behaviou</w:t>
      </w:r>
      <w:r w:rsidR="00555FDC">
        <w:rPr>
          <w:bCs/>
        </w:rPr>
        <w:t xml:space="preserve">r or </w:t>
      </w:r>
      <w:r w:rsidR="00BE3193">
        <w:rPr>
          <w:bCs/>
        </w:rPr>
        <w:t xml:space="preserve">lateness to </w:t>
      </w:r>
      <w:r w:rsidR="00555FDC">
        <w:rPr>
          <w:bCs/>
        </w:rPr>
        <w:t>collect</w:t>
      </w:r>
      <w:r w:rsidR="0061045A">
        <w:rPr>
          <w:bCs/>
        </w:rPr>
        <w:t xml:space="preserve">. </w:t>
      </w:r>
      <w:r w:rsidR="00563C51">
        <w:rPr>
          <w:bCs/>
        </w:rPr>
        <w:t>Francis’</w:t>
      </w:r>
      <w:r w:rsidR="0061045A">
        <w:rPr>
          <w:bCs/>
        </w:rPr>
        <w:t xml:space="preserve"> concordance and self-medication-management was already poor </w:t>
      </w:r>
      <w:r w:rsidR="00F4049E">
        <w:rPr>
          <w:bCs/>
        </w:rPr>
        <w:t xml:space="preserve">and </w:t>
      </w:r>
      <w:r w:rsidR="00C3708F">
        <w:rPr>
          <w:bCs/>
        </w:rPr>
        <w:t xml:space="preserve">was </w:t>
      </w:r>
      <w:r w:rsidR="00F4049E">
        <w:rPr>
          <w:bCs/>
        </w:rPr>
        <w:t xml:space="preserve">compounded </w:t>
      </w:r>
      <w:r w:rsidR="00C3708F">
        <w:rPr>
          <w:bCs/>
        </w:rPr>
        <w:t xml:space="preserve">by </w:t>
      </w:r>
      <w:r w:rsidR="00F4049E">
        <w:rPr>
          <w:bCs/>
        </w:rPr>
        <w:t xml:space="preserve">this. </w:t>
      </w:r>
      <w:r w:rsidR="009945EF">
        <w:rPr>
          <w:bCs/>
        </w:rPr>
        <w:t xml:space="preserve">Key medicines that </w:t>
      </w:r>
      <w:r w:rsidR="00563C51">
        <w:rPr>
          <w:bCs/>
        </w:rPr>
        <w:t>Francis</w:t>
      </w:r>
      <w:r w:rsidR="009945EF">
        <w:rPr>
          <w:bCs/>
        </w:rPr>
        <w:t xml:space="preserve"> went without included </w:t>
      </w:r>
      <w:r w:rsidR="00F4049E">
        <w:rPr>
          <w:bCs/>
        </w:rPr>
        <w:t xml:space="preserve">anti-epileptic medication which when missed </w:t>
      </w:r>
      <w:r w:rsidR="009945EF">
        <w:rPr>
          <w:bCs/>
        </w:rPr>
        <w:t>increased the risk of</w:t>
      </w:r>
      <w:r w:rsidR="00F4049E">
        <w:rPr>
          <w:bCs/>
        </w:rPr>
        <w:t xml:space="preserve"> seizures, creating a vicious cycle</w:t>
      </w:r>
      <w:r w:rsidR="00525A07">
        <w:rPr>
          <w:bCs/>
        </w:rPr>
        <w:t xml:space="preserve"> and contributing to </w:t>
      </w:r>
      <w:r w:rsidR="00C3708F">
        <w:rPr>
          <w:bCs/>
        </w:rPr>
        <w:t xml:space="preserve">the </w:t>
      </w:r>
      <w:r w:rsidR="00525A07">
        <w:rPr>
          <w:bCs/>
        </w:rPr>
        <w:t>risk of harm.</w:t>
      </w:r>
    </w:p>
    <w:p w14:paraId="4AA3E075" w14:textId="77777777" w:rsidR="00FA6E27" w:rsidRDefault="00FA6E27" w:rsidP="002E2BE2">
      <w:pPr>
        <w:rPr>
          <w:bCs/>
        </w:rPr>
      </w:pPr>
    </w:p>
    <w:p w14:paraId="2E80FE3A" w14:textId="68DB2A7B" w:rsidR="00FA6E27" w:rsidRPr="00FA6E27" w:rsidRDefault="00FD489D" w:rsidP="002E2BE2">
      <w:pPr>
        <w:rPr>
          <w:bCs/>
          <w:i/>
          <w:iCs/>
        </w:rPr>
      </w:pPr>
      <w:r>
        <w:rPr>
          <w:bCs/>
          <w:i/>
          <w:iCs/>
        </w:rPr>
        <w:t>Joining up the safeguarding system</w:t>
      </w:r>
    </w:p>
    <w:p w14:paraId="66158343" w14:textId="77777777" w:rsidR="00FA6E27" w:rsidRDefault="00FA6E27" w:rsidP="002E2BE2">
      <w:pPr>
        <w:rPr>
          <w:bCs/>
        </w:rPr>
      </w:pPr>
    </w:p>
    <w:p w14:paraId="040DFADF" w14:textId="4E9F5732" w:rsidR="00F91BA0" w:rsidRDefault="00897B87" w:rsidP="002E2BE2">
      <w:pPr>
        <w:rPr>
          <w:bCs/>
        </w:rPr>
      </w:pPr>
      <w:r>
        <w:rPr>
          <w:bCs/>
        </w:rPr>
        <w:t xml:space="preserve">In the case of </w:t>
      </w:r>
      <w:r w:rsidR="00563C51">
        <w:rPr>
          <w:bCs/>
        </w:rPr>
        <w:t>Francis</w:t>
      </w:r>
      <w:r>
        <w:rPr>
          <w:bCs/>
        </w:rPr>
        <w:t xml:space="preserve"> and the community pharmacy, issues relating to clinical treatment, risk management and safeguarding </w:t>
      </w:r>
      <w:r w:rsidR="00AE557E">
        <w:rPr>
          <w:bCs/>
        </w:rPr>
        <w:t xml:space="preserve">were managed </w:t>
      </w:r>
      <w:r w:rsidR="000C5444">
        <w:rPr>
          <w:bCs/>
        </w:rPr>
        <w:t>within the health sector through liaison</w:t>
      </w:r>
      <w:r w:rsidR="00525A07">
        <w:rPr>
          <w:bCs/>
        </w:rPr>
        <w:t xml:space="preserve"> </w:t>
      </w:r>
      <w:r w:rsidR="00AE557E">
        <w:rPr>
          <w:bCs/>
        </w:rPr>
        <w:t xml:space="preserve">and </w:t>
      </w:r>
      <w:r w:rsidR="000C5444">
        <w:rPr>
          <w:bCs/>
        </w:rPr>
        <w:t>escalation.</w:t>
      </w:r>
      <w:r w:rsidR="00F91BA0">
        <w:rPr>
          <w:bCs/>
        </w:rPr>
        <w:t xml:space="preserve"> </w:t>
      </w:r>
      <w:r w:rsidR="00585717">
        <w:rPr>
          <w:bCs/>
        </w:rPr>
        <w:t xml:space="preserve">Engagement with the wider safeguarding system occurred through </w:t>
      </w:r>
      <w:r w:rsidR="00B7403B">
        <w:rPr>
          <w:bCs/>
        </w:rPr>
        <w:t xml:space="preserve">the GP practice, or safeguarding </w:t>
      </w:r>
      <w:r w:rsidR="00FD2ABF">
        <w:rPr>
          <w:bCs/>
        </w:rPr>
        <w:t>leads</w:t>
      </w:r>
      <w:r w:rsidR="00B7403B">
        <w:rPr>
          <w:bCs/>
        </w:rPr>
        <w:t xml:space="preserve"> within health rather than at a community </w:t>
      </w:r>
      <w:r w:rsidR="007D0D54">
        <w:rPr>
          <w:bCs/>
        </w:rPr>
        <w:t xml:space="preserve">practitioner </w:t>
      </w:r>
      <w:r w:rsidR="00B7403B">
        <w:rPr>
          <w:bCs/>
        </w:rPr>
        <w:t xml:space="preserve">level. </w:t>
      </w:r>
      <w:r w:rsidR="00D837C2">
        <w:rPr>
          <w:bCs/>
        </w:rPr>
        <w:t xml:space="preserve">Analysis of the role of the community pharmacy in the case of </w:t>
      </w:r>
      <w:r w:rsidR="00563C51">
        <w:rPr>
          <w:bCs/>
        </w:rPr>
        <w:t>Francis</w:t>
      </w:r>
      <w:r w:rsidR="00D837C2">
        <w:rPr>
          <w:bCs/>
        </w:rPr>
        <w:t xml:space="preserve"> suggests that safeguarding processes </w:t>
      </w:r>
      <w:r w:rsidR="00E26349">
        <w:rPr>
          <w:bCs/>
        </w:rPr>
        <w:t xml:space="preserve">relating </w:t>
      </w:r>
      <w:r w:rsidR="00946151">
        <w:rPr>
          <w:bCs/>
        </w:rPr>
        <w:t xml:space="preserve">to health often </w:t>
      </w:r>
      <w:r w:rsidR="007D0D54">
        <w:rPr>
          <w:bCs/>
        </w:rPr>
        <w:t xml:space="preserve">rely on </w:t>
      </w:r>
      <w:r w:rsidR="006F6EFA">
        <w:rPr>
          <w:bCs/>
        </w:rPr>
        <w:t xml:space="preserve">a </w:t>
      </w:r>
      <w:r w:rsidR="00E26349">
        <w:rPr>
          <w:bCs/>
        </w:rPr>
        <w:t xml:space="preserve">smaller </w:t>
      </w:r>
      <w:r w:rsidR="006F6EFA">
        <w:rPr>
          <w:bCs/>
        </w:rPr>
        <w:t>number of agencies</w:t>
      </w:r>
      <w:r w:rsidR="00E26349">
        <w:rPr>
          <w:bCs/>
        </w:rPr>
        <w:t xml:space="preserve"> or professionals</w:t>
      </w:r>
      <w:r w:rsidR="00A076E4">
        <w:rPr>
          <w:bCs/>
        </w:rPr>
        <w:t>, including organisational leads, or specialist safeguarding professionals</w:t>
      </w:r>
      <w:r w:rsidR="008B3D56">
        <w:rPr>
          <w:bCs/>
        </w:rPr>
        <w:t>. Actions</w:t>
      </w:r>
      <w:r w:rsidR="008D30DE">
        <w:rPr>
          <w:bCs/>
        </w:rPr>
        <w:t xml:space="preserve"> for other health </w:t>
      </w:r>
      <w:r w:rsidR="00A076E4">
        <w:rPr>
          <w:bCs/>
        </w:rPr>
        <w:t>practitioners</w:t>
      </w:r>
      <w:r w:rsidR="008D30DE">
        <w:rPr>
          <w:bCs/>
        </w:rPr>
        <w:t xml:space="preserve"> </w:t>
      </w:r>
      <w:r w:rsidR="008B3D56">
        <w:rPr>
          <w:bCs/>
        </w:rPr>
        <w:t xml:space="preserve">or services outside this network </w:t>
      </w:r>
      <w:r w:rsidR="008D30DE">
        <w:rPr>
          <w:bCs/>
        </w:rPr>
        <w:t xml:space="preserve">are </w:t>
      </w:r>
      <w:r w:rsidR="00A076E4">
        <w:rPr>
          <w:bCs/>
        </w:rPr>
        <w:t>communicated</w:t>
      </w:r>
      <w:r w:rsidR="008D30DE">
        <w:rPr>
          <w:bCs/>
        </w:rPr>
        <w:t xml:space="preserve"> and addressed separately</w:t>
      </w:r>
      <w:r w:rsidR="00396708">
        <w:rPr>
          <w:bCs/>
        </w:rPr>
        <w:t>, outside of the safeguarding process</w:t>
      </w:r>
      <w:r w:rsidR="00485EE3">
        <w:rPr>
          <w:bCs/>
        </w:rPr>
        <w:t>.</w:t>
      </w:r>
      <w:r w:rsidR="00485EE3" w:rsidRPr="00485EE3">
        <w:rPr>
          <w:bCs/>
        </w:rPr>
        <w:t xml:space="preserve"> </w:t>
      </w:r>
      <w:r w:rsidR="00485EE3">
        <w:rPr>
          <w:bCs/>
        </w:rPr>
        <w:t xml:space="preserve">There are some advantages to this approach in efficiency and multi-agency teamwork, however this approach may also miss first-hand information and </w:t>
      </w:r>
      <w:r w:rsidR="00701E8B">
        <w:rPr>
          <w:bCs/>
        </w:rPr>
        <w:t xml:space="preserve">a lack of a shared awareness </w:t>
      </w:r>
      <w:r w:rsidR="00485EE3">
        <w:rPr>
          <w:bCs/>
        </w:rPr>
        <w:t xml:space="preserve">of what is happening </w:t>
      </w:r>
      <w:r w:rsidR="00701E8B">
        <w:rPr>
          <w:bCs/>
        </w:rPr>
        <w:t>in a case, across</w:t>
      </w:r>
      <w:r w:rsidR="007C7B3D">
        <w:rPr>
          <w:bCs/>
        </w:rPr>
        <w:t xml:space="preserve"> </w:t>
      </w:r>
      <w:r w:rsidR="00701E8B">
        <w:rPr>
          <w:bCs/>
        </w:rPr>
        <w:t xml:space="preserve">the multi-agency </w:t>
      </w:r>
      <w:r w:rsidR="007C7B3D">
        <w:rPr>
          <w:bCs/>
        </w:rPr>
        <w:t xml:space="preserve">system may </w:t>
      </w:r>
      <w:r w:rsidR="00701E8B">
        <w:rPr>
          <w:bCs/>
        </w:rPr>
        <w:t xml:space="preserve">result in </w:t>
      </w:r>
      <w:r w:rsidR="007C7B3D">
        <w:rPr>
          <w:bCs/>
        </w:rPr>
        <w:t>single</w:t>
      </w:r>
      <w:r w:rsidR="00701E8B">
        <w:rPr>
          <w:bCs/>
        </w:rPr>
        <w:t>-</w:t>
      </w:r>
      <w:r w:rsidR="007C7B3D">
        <w:rPr>
          <w:bCs/>
        </w:rPr>
        <w:t xml:space="preserve">agency decisions </w:t>
      </w:r>
      <w:r w:rsidR="00701E8B">
        <w:rPr>
          <w:bCs/>
        </w:rPr>
        <w:t xml:space="preserve">with </w:t>
      </w:r>
      <w:r w:rsidR="007C7B3D">
        <w:rPr>
          <w:bCs/>
        </w:rPr>
        <w:t>unintended consequences.</w:t>
      </w:r>
    </w:p>
    <w:p w14:paraId="6F107216" w14:textId="77777777" w:rsidR="002E2BE2" w:rsidRDefault="002E2BE2" w:rsidP="002E2BE2">
      <w:pPr>
        <w:rPr>
          <w:bCs/>
        </w:rPr>
      </w:pPr>
    </w:p>
    <w:p w14:paraId="64F597C6" w14:textId="77777777" w:rsidR="002E2BE2" w:rsidRDefault="002E2BE2" w:rsidP="002E2BE2">
      <w:pPr>
        <w:pStyle w:val="Findingtext"/>
      </w:pPr>
    </w:p>
    <w:p w14:paraId="3CCC626B" w14:textId="7CEAB733" w:rsidR="002E2BE2" w:rsidRDefault="002E2BE2" w:rsidP="002E2BE2">
      <w:pPr>
        <w:pStyle w:val="FindingTitle"/>
      </w:pPr>
      <w:bookmarkStart w:id="31" w:name="_Toc165109328"/>
      <w:r>
        <w:t xml:space="preserve">Finding </w:t>
      </w:r>
      <w:r w:rsidR="00716646">
        <w:t>5</w:t>
      </w:r>
      <w:r>
        <w:t xml:space="preserve">: </w:t>
      </w:r>
      <w:r w:rsidR="007A275F">
        <w:t xml:space="preserve">The use of </w:t>
      </w:r>
      <w:r w:rsidR="0023092D">
        <w:t>S</w:t>
      </w:r>
      <w:r w:rsidR="0034492C">
        <w:t xml:space="preserve">afeguarding </w:t>
      </w:r>
      <w:r w:rsidR="007A275F">
        <w:t>Specialists</w:t>
      </w:r>
      <w:r w:rsidR="00386E17">
        <w:t xml:space="preserve"> in Safeguarding processes</w:t>
      </w:r>
      <w:bookmarkEnd w:id="31"/>
    </w:p>
    <w:p w14:paraId="07E87466" w14:textId="77777777" w:rsidR="002E2BE2" w:rsidRDefault="002E2BE2" w:rsidP="002E2BE2">
      <w:pPr>
        <w:pStyle w:val="Findingtext"/>
      </w:pPr>
    </w:p>
    <w:p w14:paraId="7BC61224" w14:textId="77777777" w:rsidR="002E2BE2" w:rsidRPr="007354B8" w:rsidRDefault="002E2BE2" w:rsidP="002E2BE2">
      <w:pPr>
        <w:pStyle w:val="Findingtext"/>
        <w:rPr>
          <w:b/>
          <w:bCs/>
        </w:rPr>
      </w:pPr>
      <w:r w:rsidRPr="007354B8">
        <w:rPr>
          <w:b/>
          <w:bCs/>
        </w:rPr>
        <w:t>Underlying issue</w:t>
      </w:r>
    </w:p>
    <w:p w14:paraId="031114CD" w14:textId="31EAF2C3" w:rsidR="002E2BE2" w:rsidRDefault="007A6812" w:rsidP="002E2BE2">
      <w:pPr>
        <w:pStyle w:val="Findingtext"/>
      </w:pPr>
      <w:r>
        <w:t xml:space="preserve">Multi-agency </w:t>
      </w:r>
      <w:r w:rsidR="008B3D56">
        <w:t>S</w:t>
      </w:r>
      <w:r w:rsidR="008B3D56">
        <w:rPr>
          <w:bCs/>
        </w:rPr>
        <w:t xml:space="preserve">afeguarding processes relating to health often involve </w:t>
      </w:r>
      <w:r w:rsidR="004078CF">
        <w:rPr>
          <w:bCs/>
        </w:rPr>
        <w:t xml:space="preserve">lead professionals to represent the wider health system </w:t>
      </w:r>
      <w:r w:rsidR="0063548B">
        <w:rPr>
          <w:bCs/>
        </w:rPr>
        <w:t xml:space="preserve">of </w:t>
      </w:r>
      <w:r w:rsidR="008B3D56">
        <w:rPr>
          <w:bCs/>
        </w:rPr>
        <w:t xml:space="preserve">agencies or professionals. Actions for </w:t>
      </w:r>
      <w:r w:rsidR="00EE72EB">
        <w:rPr>
          <w:bCs/>
        </w:rPr>
        <w:t xml:space="preserve">specialist </w:t>
      </w:r>
      <w:r w:rsidR="008B3D56">
        <w:rPr>
          <w:bCs/>
        </w:rPr>
        <w:t xml:space="preserve">health professionals or services outside this network are </w:t>
      </w:r>
      <w:r w:rsidR="0063548B">
        <w:rPr>
          <w:bCs/>
        </w:rPr>
        <w:t xml:space="preserve">often </w:t>
      </w:r>
      <w:r w:rsidR="008B3D56">
        <w:rPr>
          <w:bCs/>
        </w:rPr>
        <w:t xml:space="preserve">taken away and addressed separately. </w:t>
      </w:r>
    </w:p>
    <w:p w14:paraId="4157B724" w14:textId="77777777" w:rsidR="002E2BE2" w:rsidRDefault="002E2BE2" w:rsidP="002E2BE2">
      <w:pPr>
        <w:pStyle w:val="Findingtext"/>
      </w:pPr>
    </w:p>
    <w:p w14:paraId="5D19C289" w14:textId="2F22C4AD" w:rsidR="002E2BE2" w:rsidRPr="007354B8" w:rsidRDefault="004E3323" w:rsidP="002E2BE2">
      <w:pPr>
        <w:pStyle w:val="Findingtext"/>
        <w:rPr>
          <w:b/>
          <w:bCs/>
        </w:rPr>
      </w:pPr>
      <w:r>
        <w:rPr>
          <w:b/>
          <w:bCs/>
        </w:rPr>
        <w:t>Rationale for change</w:t>
      </w:r>
    </w:p>
    <w:p w14:paraId="5EAC6B02" w14:textId="53975249" w:rsidR="004E3323" w:rsidRDefault="00A70ED3" w:rsidP="002E2BE2">
      <w:pPr>
        <w:pStyle w:val="Findingtext"/>
      </w:pPr>
      <w:r>
        <w:rPr>
          <w:bCs/>
        </w:rPr>
        <w:t>There are some advantages to this approach in efficiency and multi-agency teamwork, however this approach may also miss first-hand information and a stronger team around a person</w:t>
      </w:r>
      <w:r w:rsidR="00DD0F8B">
        <w:rPr>
          <w:bCs/>
        </w:rPr>
        <w:t xml:space="preserve"> and may </w:t>
      </w:r>
      <w:r>
        <w:rPr>
          <w:bCs/>
        </w:rPr>
        <w:t>prevent decisions having unintended consequences.</w:t>
      </w:r>
      <w:r w:rsidR="00705690">
        <w:rPr>
          <w:bCs/>
        </w:rPr>
        <w:t xml:space="preserve"> It may not be necessary, or proportionate, for every agency to be involved in </w:t>
      </w:r>
      <w:r w:rsidR="00B64E7F">
        <w:rPr>
          <w:bCs/>
        </w:rPr>
        <w:t xml:space="preserve">the safeguarding processes and meetings, however it is important that safeguarding processes are aware of which agencies are involved, what their role is, and how their contact with the individual may be </w:t>
      </w:r>
      <w:r w:rsidR="001B3ACE">
        <w:rPr>
          <w:bCs/>
        </w:rPr>
        <w:t>utilised</w:t>
      </w:r>
      <w:r w:rsidR="00B64E7F">
        <w:rPr>
          <w:bCs/>
        </w:rPr>
        <w:t>.</w:t>
      </w:r>
    </w:p>
    <w:p w14:paraId="671988C7" w14:textId="77777777" w:rsidR="004E3323" w:rsidRDefault="004E3323" w:rsidP="002E2BE2">
      <w:pPr>
        <w:pStyle w:val="Findingtext"/>
      </w:pPr>
    </w:p>
    <w:p w14:paraId="7441FC15" w14:textId="6F3C9E8C" w:rsidR="002E2BE2" w:rsidRPr="007354B8" w:rsidRDefault="004E3323" w:rsidP="002E2BE2">
      <w:pPr>
        <w:pStyle w:val="Findingtext"/>
        <w:rPr>
          <w:b/>
          <w:bCs/>
        </w:rPr>
      </w:pPr>
      <w:r>
        <w:rPr>
          <w:b/>
          <w:bCs/>
        </w:rPr>
        <w:t>Questions for the Safeguarding Adults Board</w:t>
      </w:r>
    </w:p>
    <w:p w14:paraId="625ADF79" w14:textId="77777777" w:rsidR="004E3323" w:rsidRDefault="004E3323" w:rsidP="002E2BE2">
      <w:pPr>
        <w:pStyle w:val="Findingtext"/>
      </w:pPr>
    </w:p>
    <w:p w14:paraId="44FC11CA" w14:textId="714D16BE" w:rsidR="00CF7A81" w:rsidRPr="003E71E7" w:rsidRDefault="00CF7A81" w:rsidP="00CF7A81">
      <w:pPr>
        <w:pBdr>
          <w:top w:val="single" w:sz="4" w:space="1" w:color="auto"/>
          <w:left w:val="single" w:sz="4" w:space="4" w:color="auto"/>
          <w:bottom w:val="single" w:sz="4" w:space="1" w:color="auto"/>
          <w:right w:val="single" w:sz="4" w:space="4" w:color="auto"/>
        </w:pBdr>
        <w:shd w:val="clear" w:color="auto" w:fill="D3C1FF"/>
        <w:ind w:left="1701" w:hanging="1701"/>
        <w:rPr>
          <w:rFonts w:eastAsia="Calibri" w:cs="Arial"/>
        </w:rPr>
      </w:pPr>
      <w:r w:rsidRPr="003E71E7">
        <w:rPr>
          <w:rFonts w:eastAsia="Calibri" w:cs="Arial"/>
          <w:b/>
          <w:bCs/>
        </w:rPr>
        <w:t xml:space="preserve">Finding </w:t>
      </w:r>
      <w:r w:rsidR="002D0A40">
        <w:rPr>
          <w:rFonts w:eastAsia="Calibri" w:cs="Arial"/>
          <w:b/>
          <w:bCs/>
        </w:rPr>
        <w:t>5</w:t>
      </w:r>
      <w:r w:rsidRPr="003E71E7">
        <w:rPr>
          <w:rFonts w:eastAsia="Calibri" w:cs="Arial"/>
          <w:b/>
          <w:bCs/>
        </w:rPr>
        <w:t xml:space="preserve">, </w:t>
      </w:r>
      <w:proofErr w:type="spellStart"/>
      <w:r w:rsidRPr="003E71E7">
        <w:rPr>
          <w:rFonts w:eastAsia="Calibri" w:cs="Arial"/>
          <w:b/>
          <w:bCs/>
        </w:rPr>
        <w:t>Q1</w:t>
      </w:r>
      <w:proofErr w:type="spellEnd"/>
      <w:r w:rsidRPr="003E71E7">
        <w:rPr>
          <w:rFonts w:eastAsia="Calibri" w:cs="Arial"/>
          <w:b/>
          <w:bCs/>
        </w:rPr>
        <w:t>:</w:t>
      </w:r>
      <w:r w:rsidRPr="003E71E7">
        <w:rPr>
          <w:rFonts w:eastAsia="Calibri" w:cs="Arial"/>
          <w:b/>
          <w:bCs/>
        </w:rPr>
        <w:tab/>
      </w:r>
      <w:r w:rsidR="00EC3455">
        <w:rPr>
          <w:rFonts w:eastAsia="Calibri" w:cs="Arial"/>
        </w:rPr>
        <w:t xml:space="preserve">What is the role of organisational leads, </w:t>
      </w:r>
      <w:r w:rsidR="002F798D">
        <w:rPr>
          <w:rFonts w:eastAsia="Calibri" w:cs="Arial"/>
        </w:rPr>
        <w:t>specialist safeguarding practitioners, and representatives in the safeguarding process? How does the system account for team approaches to care</w:t>
      </w:r>
      <w:r w:rsidR="006E5367">
        <w:rPr>
          <w:rFonts w:eastAsia="Calibri" w:cs="Arial"/>
        </w:rPr>
        <w:t xml:space="preserve"> </w:t>
      </w:r>
      <w:r w:rsidR="00696797">
        <w:rPr>
          <w:rFonts w:eastAsia="Calibri" w:cs="Arial"/>
        </w:rPr>
        <w:t>delivery</w:t>
      </w:r>
      <w:r w:rsidR="00696797">
        <w:rPr>
          <w:rStyle w:val="FootnoteReference"/>
          <w:rFonts w:eastAsia="Calibri" w:cs="Arial"/>
        </w:rPr>
        <w:footnoteReference w:id="6"/>
      </w:r>
      <w:r w:rsidR="002F798D">
        <w:rPr>
          <w:rFonts w:eastAsia="Calibri" w:cs="Arial"/>
        </w:rPr>
        <w:t>?</w:t>
      </w:r>
    </w:p>
    <w:p w14:paraId="23125483" w14:textId="0DD04211" w:rsidR="00CF7A81" w:rsidRDefault="00CF7A81" w:rsidP="000C0861">
      <w:pPr>
        <w:pStyle w:val="Findingtext"/>
        <w:ind w:left="1701" w:hanging="1701"/>
      </w:pPr>
      <w:r w:rsidRPr="003E71E7">
        <w:rPr>
          <w:b/>
          <w:bCs/>
        </w:rPr>
        <w:t xml:space="preserve">Finding </w:t>
      </w:r>
      <w:r w:rsidR="002D0A40">
        <w:rPr>
          <w:b/>
          <w:bCs/>
        </w:rPr>
        <w:t>5</w:t>
      </w:r>
      <w:r w:rsidRPr="003E71E7">
        <w:rPr>
          <w:b/>
          <w:bCs/>
        </w:rPr>
        <w:t xml:space="preserve">, </w:t>
      </w:r>
      <w:proofErr w:type="spellStart"/>
      <w:r w:rsidRPr="003E71E7">
        <w:rPr>
          <w:b/>
          <w:bCs/>
        </w:rPr>
        <w:t>Q2</w:t>
      </w:r>
      <w:proofErr w:type="spellEnd"/>
      <w:r w:rsidRPr="003E71E7">
        <w:rPr>
          <w:b/>
          <w:bCs/>
        </w:rPr>
        <w:t>:</w:t>
      </w:r>
      <w:r w:rsidRPr="003E71E7">
        <w:tab/>
      </w:r>
      <w:r w:rsidR="00EC3455">
        <w:t>How can specialist health services, clinicians, and local practitioners contribute to safeguarding processes, including meetings, in a way that is proportionate and effective?</w:t>
      </w:r>
    </w:p>
    <w:p w14:paraId="76655C4C" w14:textId="77777777" w:rsidR="00CF7A81" w:rsidRDefault="00CF7A81" w:rsidP="002E2BE2">
      <w:pPr>
        <w:pStyle w:val="Findingtext"/>
      </w:pPr>
    </w:p>
    <w:p w14:paraId="07856BA7" w14:textId="2EA85CB7" w:rsidR="00CF7A81" w:rsidRPr="000C0861" w:rsidRDefault="00CF7A81" w:rsidP="002E2BE2">
      <w:pPr>
        <w:pStyle w:val="Findingtext"/>
        <w:rPr>
          <w:b/>
          <w:bCs/>
        </w:rPr>
      </w:pPr>
      <w:r>
        <w:rPr>
          <w:b/>
          <w:bCs/>
        </w:rPr>
        <w:t>Impact and measurement</w:t>
      </w:r>
    </w:p>
    <w:p w14:paraId="3D54733B" w14:textId="20D2C7F1" w:rsidR="002E2BE2" w:rsidRDefault="006E5367" w:rsidP="002E2BE2">
      <w:pPr>
        <w:pStyle w:val="Findingtext"/>
      </w:pPr>
      <w:r>
        <w:t xml:space="preserve">This finding is about finding a proportionate </w:t>
      </w:r>
      <w:r w:rsidR="00BD64EC">
        <w:t xml:space="preserve">balance when individuals are supported by numerous health professionals, or within a large, complex system. </w:t>
      </w:r>
      <w:r w:rsidR="009C0BB0">
        <w:t xml:space="preserve">Inviting all professionals involved in a case may render meetings and processes ineffective, but missing out key practitioners may </w:t>
      </w:r>
      <w:r w:rsidR="00980F8D">
        <w:t xml:space="preserve">also </w:t>
      </w:r>
      <w:r w:rsidR="009C0BB0">
        <w:t xml:space="preserve">compromise </w:t>
      </w:r>
      <w:r w:rsidR="00980F8D">
        <w:t xml:space="preserve">effectiveness. Using organisational leads can </w:t>
      </w:r>
      <w:r w:rsidR="00666E46">
        <w:t xml:space="preserve">provide an efficient and cost-effective was of addressing this risk. </w:t>
      </w:r>
      <w:r w:rsidR="000160A5">
        <w:t xml:space="preserve">In order to determine how this balance can be achieved on a case-by-case basis, </w:t>
      </w:r>
      <w:r w:rsidR="00A108B1">
        <w:t>measurement and review of the current system could support consistency in the roles that organisational safeguarding specialists play in individual cases.</w:t>
      </w:r>
    </w:p>
    <w:p w14:paraId="78F555B5" w14:textId="77777777" w:rsidR="00CF7A81" w:rsidRDefault="00CF7A81" w:rsidP="002E2BE2">
      <w:pPr>
        <w:pStyle w:val="Findingtext"/>
      </w:pPr>
    </w:p>
    <w:p w14:paraId="6BD57CEA" w14:textId="77777777" w:rsidR="002E2BE2" w:rsidRDefault="002E2BE2" w:rsidP="002E2BE2">
      <w:pPr>
        <w:rPr>
          <w:bCs/>
        </w:rPr>
      </w:pPr>
    </w:p>
    <w:p w14:paraId="3F6102BF" w14:textId="77777777" w:rsidR="008A20DD" w:rsidRDefault="008A20DD">
      <w:pPr>
        <w:spacing w:after="160" w:line="259" w:lineRule="auto"/>
        <w:rPr>
          <w:rFonts w:eastAsiaTheme="majorEastAsia" w:cstheme="majorBidi"/>
          <w:color w:val="660066"/>
          <w:sz w:val="24"/>
          <w:szCs w:val="26"/>
        </w:rPr>
      </w:pPr>
      <w:r>
        <w:br w:type="page"/>
      </w:r>
    </w:p>
    <w:p w14:paraId="52FD3FE0" w14:textId="2E2E402E" w:rsidR="002E2BE2" w:rsidRDefault="002E2BE2" w:rsidP="002E2BE2">
      <w:pPr>
        <w:pStyle w:val="Heading2"/>
        <w:spacing w:after="0"/>
      </w:pPr>
      <w:bookmarkStart w:id="32" w:name="_Toc165109329"/>
      <w:r>
        <w:t xml:space="preserve">TOR </w:t>
      </w:r>
      <w:r w:rsidR="00A600D8">
        <w:t>6</w:t>
      </w:r>
      <w:r>
        <w:t xml:space="preserve">: </w:t>
      </w:r>
      <w:r w:rsidR="00A600D8">
        <w:t>People with additional needs</w:t>
      </w:r>
      <w:bookmarkEnd w:id="32"/>
    </w:p>
    <w:p w14:paraId="0412D8C8" w14:textId="1C8C434C" w:rsidR="002E2BE2" w:rsidRPr="003E4BBA" w:rsidRDefault="009979C1" w:rsidP="002E2BE2">
      <w:pPr>
        <w:rPr>
          <w:bCs/>
          <w:i/>
          <w:iCs/>
        </w:rPr>
      </w:pPr>
      <w:r>
        <w:rPr>
          <w:bCs/>
          <w:i/>
          <w:iCs/>
        </w:rPr>
        <w:t>In particular, a</w:t>
      </w:r>
      <w:r w:rsidR="009C7F7A" w:rsidRPr="009C7F7A">
        <w:rPr>
          <w:bCs/>
          <w:i/>
          <w:iCs/>
        </w:rPr>
        <w:t>dult</w:t>
      </w:r>
      <w:r>
        <w:rPr>
          <w:bCs/>
          <w:i/>
          <w:iCs/>
        </w:rPr>
        <w:t>s</w:t>
      </w:r>
      <w:r w:rsidR="009C7F7A" w:rsidRPr="009C7F7A">
        <w:rPr>
          <w:bCs/>
          <w:i/>
          <w:iCs/>
        </w:rPr>
        <w:t xml:space="preserve"> with limited or no literacy skills (not able to read or write)</w:t>
      </w:r>
      <w:r>
        <w:rPr>
          <w:bCs/>
          <w:i/>
          <w:iCs/>
        </w:rPr>
        <w:t>:</w:t>
      </w:r>
      <w:r w:rsidR="009C7F7A" w:rsidRPr="009C7F7A">
        <w:rPr>
          <w:bCs/>
          <w:i/>
          <w:iCs/>
        </w:rPr>
        <w:t xml:space="preserve"> how do we support them with care &amp; support needs/access to services.</w:t>
      </w:r>
    </w:p>
    <w:p w14:paraId="6213191E" w14:textId="77777777" w:rsidR="002E2BE2" w:rsidRDefault="002E2BE2" w:rsidP="002E2BE2">
      <w:pPr>
        <w:rPr>
          <w:bCs/>
        </w:rPr>
      </w:pPr>
    </w:p>
    <w:p w14:paraId="11B7710A" w14:textId="77777777" w:rsidR="002E2BE2" w:rsidRPr="00FE33D8" w:rsidRDefault="002E2BE2" w:rsidP="002E2BE2">
      <w:pPr>
        <w:rPr>
          <w:b/>
        </w:rPr>
      </w:pPr>
      <w:r w:rsidRPr="00FE33D8">
        <w:rPr>
          <w:b/>
        </w:rPr>
        <w:t>Context</w:t>
      </w:r>
    </w:p>
    <w:p w14:paraId="00E246D5" w14:textId="77777777" w:rsidR="00AF4653" w:rsidRDefault="00AF4653" w:rsidP="002E2BE2">
      <w:pPr>
        <w:rPr>
          <w:bCs/>
          <w:i/>
          <w:iCs/>
        </w:rPr>
      </w:pPr>
    </w:p>
    <w:p w14:paraId="23C3AC17" w14:textId="0DD2ED81" w:rsidR="0006768F" w:rsidRDefault="00005330" w:rsidP="002E2BE2">
      <w:pPr>
        <w:rPr>
          <w:bCs/>
        </w:rPr>
      </w:pPr>
      <w:r w:rsidRPr="00005330">
        <w:rPr>
          <w:bCs/>
          <w:i/>
          <w:iCs/>
        </w:rPr>
        <w:t>“</w:t>
      </w:r>
      <w:r w:rsidR="0091743E" w:rsidRPr="00005330">
        <w:rPr>
          <w:bCs/>
          <w:i/>
          <w:iCs/>
        </w:rPr>
        <w:t xml:space="preserve">Literacy is the ability to </w:t>
      </w:r>
      <w:r w:rsidRPr="00005330">
        <w:rPr>
          <w:bCs/>
          <w:i/>
          <w:iCs/>
        </w:rPr>
        <w:t>read, write, speak and listen in a way that lets us communicate and make sense of the world”</w:t>
      </w:r>
      <w:r>
        <w:rPr>
          <w:bCs/>
        </w:rPr>
        <w:t xml:space="preserve"> </w:t>
      </w:r>
      <w:sdt>
        <w:sdtPr>
          <w:rPr>
            <w:bCs/>
          </w:rPr>
          <w:id w:val="1117568019"/>
          <w:citation/>
        </w:sdtPr>
        <w:sdtEndPr/>
        <w:sdtContent>
          <w:r>
            <w:rPr>
              <w:bCs/>
            </w:rPr>
            <w:fldChar w:fldCharType="begin"/>
          </w:r>
          <w:r>
            <w:rPr>
              <w:bCs/>
            </w:rPr>
            <w:instrText xml:space="preserve"> CITATION Lit23 \l 2057 </w:instrText>
          </w:r>
          <w:r>
            <w:rPr>
              <w:bCs/>
            </w:rPr>
            <w:fldChar w:fldCharType="separate"/>
          </w:r>
          <w:r w:rsidR="00094ACC">
            <w:rPr>
              <w:noProof/>
            </w:rPr>
            <w:t>(Literacy Trust, 2023)</w:t>
          </w:r>
          <w:r>
            <w:rPr>
              <w:bCs/>
            </w:rPr>
            <w:fldChar w:fldCharType="end"/>
          </w:r>
        </w:sdtContent>
      </w:sdt>
      <w:r>
        <w:rPr>
          <w:bCs/>
        </w:rPr>
        <w:t>.</w:t>
      </w:r>
      <w:r w:rsidR="00212E64">
        <w:rPr>
          <w:bCs/>
        </w:rPr>
        <w:t xml:space="preserve"> </w:t>
      </w:r>
      <w:r w:rsidR="00DC5F31">
        <w:rPr>
          <w:bCs/>
        </w:rPr>
        <w:t xml:space="preserve">The most recent data for England </w:t>
      </w:r>
      <w:r w:rsidR="005968AD">
        <w:rPr>
          <w:bCs/>
        </w:rPr>
        <w:t>showed that in 2012 1 in 6</w:t>
      </w:r>
      <w:r w:rsidR="0006768F">
        <w:rPr>
          <w:bCs/>
        </w:rPr>
        <w:t xml:space="preserve"> adults (16.4% or 7.1 million)</w:t>
      </w:r>
      <w:r w:rsidR="003C2693">
        <w:rPr>
          <w:bCs/>
        </w:rPr>
        <w:t xml:space="preserve"> had “very poor literacy skills”, this means that </w:t>
      </w:r>
      <w:r w:rsidR="007A3F99">
        <w:rPr>
          <w:bCs/>
        </w:rPr>
        <w:t>they would struggle to understand written communication beyond simple straightforward texts on familiar topics.</w:t>
      </w:r>
      <w:r w:rsidR="00BC7730">
        <w:rPr>
          <w:bCs/>
        </w:rPr>
        <w:t xml:space="preserve"> </w:t>
      </w:r>
    </w:p>
    <w:p w14:paraId="78595CD2" w14:textId="77777777" w:rsidR="00BC7730" w:rsidRDefault="00BC7730" w:rsidP="002E2BE2">
      <w:pPr>
        <w:rPr>
          <w:bCs/>
        </w:rPr>
      </w:pPr>
    </w:p>
    <w:p w14:paraId="2EDB5EBD" w14:textId="033CFDEA" w:rsidR="00AF4653" w:rsidRDefault="009979C1" w:rsidP="002E2BE2">
      <w:pPr>
        <w:rPr>
          <w:bCs/>
        </w:rPr>
      </w:pPr>
      <w:r>
        <w:rPr>
          <w:bCs/>
        </w:rPr>
        <w:t>Literacy is essential for everyday communication and navigation</w:t>
      </w:r>
      <w:r w:rsidR="00AD2693">
        <w:rPr>
          <w:bCs/>
        </w:rPr>
        <w:t xml:space="preserve"> of</w:t>
      </w:r>
      <w:r>
        <w:rPr>
          <w:bCs/>
        </w:rPr>
        <w:t xml:space="preserve"> life</w:t>
      </w:r>
      <w:r w:rsidR="00FA5568">
        <w:rPr>
          <w:bCs/>
        </w:rPr>
        <w:t>, from completing forms, to understanding road signs, official letters, and instructions on medicines</w:t>
      </w:r>
      <w:r w:rsidR="00E701E7">
        <w:rPr>
          <w:bCs/>
        </w:rPr>
        <w:t>. Low levels of literacy are known to have an adverse effect on employment opportunities, confidence</w:t>
      </w:r>
      <w:r w:rsidR="00BE26E6">
        <w:rPr>
          <w:bCs/>
        </w:rPr>
        <w:t>,</w:t>
      </w:r>
      <w:r w:rsidR="00E701E7">
        <w:rPr>
          <w:bCs/>
        </w:rPr>
        <w:t xml:space="preserve"> and self-esteem</w:t>
      </w:r>
      <w:r w:rsidR="00BE26E6">
        <w:rPr>
          <w:bCs/>
        </w:rPr>
        <w:t xml:space="preserve"> </w:t>
      </w:r>
      <w:sdt>
        <w:sdtPr>
          <w:rPr>
            <w:bCs/>
          </w:rPr>
          <w:id w:val="-2098238285"/>
          <w:citation/>
        </w:sdtPr>
        <w:sdtEndPr/>
        <w:sdtContent>
          <w:r w:rsidR="00BE26E6">
            <w:rPr>
              <w:bCs/>
            </w:rPr>
            <w:fldChar w:fldCharType="begin"/>
          </w:r>
          <w:r w:rsidR="00BE26E6">
            <w:rPr>
              <w:bCs/>
            </w:rPr>
            <w:instrText xml:space="preserve"> CITATION Lit23 \l 2057 </w:instrText>
          </w:r>
          <w:r w:rsidR="00BE26E6">
            <w:rPr>
              <w:bCs/>
            </w:rPr>
            <w:fldChar w:fldCharType="separate"/>
          </w:r>
          <w:r w:rsidR="00094ACC">
            <w:rPr>
              <w:noProof/>
            </w:rPr>
            <w:t>(Literacy Trust, 2023)</w:t>
          </w:r>
          <w:r w:rsidR="00BE26E6">
            <w:rPr>
              <w:bCs/>
            </w:rPr>
            <w:fldChar w:fldCharType="end"/>
          </w:r>
        </w:sdtContent>
      </w:sdt>
      <w:r w:rsidR="001B3ACE">
        <w:rPr>
          <w:bCs/>
        </w:rPr>
        <w:t xml:space="preserve">. A basic level of literacy is often assumed within health and social care where communication about appointments, </w:t>
      </w:r>
      <w:r w:rsidR="00B8033F">
        <w:rPr>
          <w:bCs/>
        </w:rPr>
        <w:t xml:space="preserve">medication regimes, </w:t>
      </w:r>
      <w:r w:rsidR="009260BB">
        <w:rPr>
          <w:bCs/>
        </w:rPr>
        <w:t xml:space="preserve">outcomes of </w:t>
      </w:r>
      <w:r w:rsidR="00B8033F">
        <w:rPr>
          <w:bCs/>
        </w:rPr>
        <w:t xml:space="preserve">assessments, and care plans are </w:t>
      </w:r>
      <w:r w:rsidR="00273D2F">
        <w:rPr>
          <w:bCs/>
        </w:rPr>
        <w:t xml:space="preserve">often </w:t>
      </w:r>
      <w:r w:rsidR="00B8033F">
        <w:rPr>
          <w:bCs/>
        </w:rPr>
        <w:t>provided in a written format.</w:t>
      </w:r>
    </w:p>
    <w:p w14:paraId="24D9D2B6" w14:textId="6B0EB8FB" w:rsidR="00CA259B" w:rsidRDefault="00BB3D57" w:rsidP="002E2BE2">
      <w:pPr>
        <w:rPr>
          <w:bCs/>
        </w:rPr>
      </w:pPr>
      <w:r>
        <w:rPr>
          <w:bCs/>
        </w:rPr>
        <w:t xml:space="preserve"> </w:t>
      </w:r>
    </w:p>
    <w:p w14:paraId="7709011E" w14:textId="191636CF" w:rsidR="00AF4653" w:rsidRPr="004B4113" w:rsidRDefault="002E2BE2" w:rsidP="002E2BE2">
      <w:pPr>
        <w:rPr>
          <w:b/>
        </w:rPr>
      </w:pPr>
      <w:r w:rsidRPr="00FE33D8">
        <w:rPr>
          <w:b/>
        </w:rPr>
        <w:t>Findings</w:t>
      </w:r>
    </w:p>
    <w:p w14:paraId="070282B9" w14:textId="77777777" w:rsidR="008A20DD" w:rsidRDefault="008A20DD" w:rsidP="002E2BE2">
      <w:pPr>
        <w:rPr>
          <w:bCs/>
        </w:rPr>
      </w:pPr>
    </w:p>
    <w:p w14:paraId="51E47857" w14:textId="603741B6" w:rsidR="008A20DD" w:rsidRDefault="00563C51" w:rsidP="002E2BE2">
      <w:pPr>
        <w:rPr>
          <w:bCs/>
        </w:rPr>
      </w:pPr>
      <w:r>
        <w:rPr>
          <w:bCs/>
        </w:rPr>
        <w:t>Francis</w:t>
      </w:r>
      <w:r w:rsidR="0099179C">
        <w:rPr>
          <w:bCs/>
        </w:rPr>
        <w:t xml:space="preserve"> was described as having </w:t>
      </w:r>
      <w:r w:rsidR="00AF4653">
        <w:rPr>
          <w:bCs/>
        </w:rPr>
        <w:t>limited or no literacy skills</w:t>
      </w:r>
      <w:r w:rsidR="00E87420">
        <w:rPr>
          <w:bCs/>
        </w:rPr>
        <w:t>. This meant that he struggled to understand communication in written formats</w:t>
      </w:r>
      <w:r w:rsidR="00E17160">
        <w:rPr>
          <w:bCs/>
        </w:rPr>
        <w:t xml:space="preserve"> and had difficulties in</w:t>
      </w:r>
      <w:r w:rsidR="00461E3B">
        <w:rPr>
          <w:bCs/>
        </w:rPr>
        <w:t xml:space="preserve"> understanding</w:t>
      </w:r>
      <w:r w:rsidR="00E511E4">
        <w:rPr>
          <w:bCs/>
        </w:rPr>
        <w:t>, among other things,</w:t>
      </w:r>
      <w:r w:rsidR="00461E3B">
        <w:rPr>
          <w:bCs/>
        </w:rPr>
        <w:t xml:space="preserve"> appointment letters, medication instructions and how to manage his </w:t>
      </w:r>
      <w:proofErr w:type="spellStart"/>
      <w:r w:rsidR="00F42549">
        <w:rPr>
          <w:bCs/>
        </w:rPr>
        <w:t>d</w:t>
      </w:r>
      <w:r w:rsidR="00461E3B">
        <w:rPr>
          <w:bCs/>
        </w:rPr>
        <w:t>ossett</w:t>
      </w:r>
      <w:proofErr w:type="spellEnd"/>
      <w:r w:rsidR="00E511E4">
        <w:rPr>
          <w:bCs/>
        </w:rPr>
        <w:t xml:space="preserve"> </w:t>
      </w:r>
      <w:r w:rsidR="00461E3B">
        <w:rPr>
          <w:bCs/>
        </w:rPr>
        <w:t>box</w:t>
      </w:r>
      <w:r w:rsidR="00E511E4">
        <w:rPr>
          <w:bCs/>
        </w:rPr>
        <w:t>.</w:t>
      </w:r>
      <w:r w:rsidR="00DE116A">
        <w:rPr>
          <w:bCs/>
        </w:rPr>
        <w:t xml:space="preserve"> </w:t>
      </w:r>
      <w:r>
        <w:rPr>
          <w:bCs/>
        </w:rPr>
        <w:t>Francis</w:t>
      </w:r>
      <w:r w:rsidR="00177583">
        <w:rPr>
          <w:bCs/>
        </w:rPr>
        <w:t xml:space="preserve"> was offered some support in this area – for example workarounds where healthcare professionals agreed to read his letters to him, and the regular provision of a mobile phone so communication could be conducted verbally through a telephone call. </w:t>
      </w:r>
      <w:r w:rsidR="00BD0E00">
        <w:rPr>
          <w:bCs/>
        </w:rPr>
        <w:t xml:space="preserve">These methods proved unreliable however as they relied on </w:t>
      </w:r>
      <w:r>
        <w:rPr>
          <w:bCs/>
        </w:rPr>
        <w:t>Francis</w:t>
      </w:r>
      <w:r w:rsidR="00BD0E00">
        <w:rPr>
          <w:bCs/>
        </w:rPr>
        <w:t xml:space="preserve"> seeking support</w:t>
      </w:r>
      <w:r w:rsidR="00454214">
        <w:rPr>
          <w:bCs/>
        </w:rPr>
        <w:t xml:space="preserve"> </w:t>
      </w:r>
      <w:r w:rsidR="004C7475">
        <w:rPr>
          <w:bCs/>
        </w:rPr>
        <w:t xml:space="preserve">for staff to read his </w:t>
      </w:r>
      <w:r w:rsidR="00454214">
        <w:rPr>
          <w:bCs/>
        </w:rPr>
        <w:t>letters and correspondence</w:t>
      </w:r>
      <w:r w:rsidR="004C7475">
        <w:rPr>
          <w:bCs/>
        </w:rPr>
        <w:t xml:space="preserve"> to him</w:t>
      </w:r>
      <w:r w:rsidR="00454214">
        <w:rPr>
          <w:bCs/>
        </w:rPr>
        <w:t>, and he often lost his mobile phones – or they were taken from him.</w:t>
      </w:r>
      <w:r w:rsidR="00ED4093">
        <w:rPr>
          <w:bCs/>
        </w:rPr>
        <w:t xml:space="preserve"> </w:t>
      </w:r>
    </w:p>
    <w:p w14:paraId="4D8D6670" w14:textId="77777777" w:rsidR="008A20DD" w:rsidRDefault="008A20DD" w:rsidP="002E2BE2">
      <w:pPr>
        <w:rPr>
          <w:bCs/>
        </w:rPr>
      </w:pPr>
    </w:p>
    <w:p w14:paraId="49C59814" w14:textId="0EDC9CE3" w:rsidR="004A7E8D" w:rsidRDefault="006B69BB" w:rsidP="002E2BE2">
      <w:r>
        <w:rPr>
          <w:bCs/>
        </w:rPr>
        <w:t xml:space="preserve">The impact of </w:t>
      </w:r>
      <w:r w:rsidR="00563C51">
        <w:rPr>
          <w:bCs/>
        </w:rPr>
        <w:t>Francis’</w:t>
      </w:r>
      <w:r>
        <w:rPr>
          <w:bCs/>
        </w:rPr>
        <w:t xml:space="preserve"> low level of literacy </w:t>
      </w:r>
      <w:r w:rsidR="00A04879">
        <w:rPr>
          <w:bCs/>
        </w:rPr>
        <w:t>on medication compliance, keeping appointments, travelling, and engaging with professionals</w:t>
      </w:r>
      <w:r w:rsidR="00BD0091">
        <w:rPr>
          <w:bCs/>
        </w:rPr>
        <w:t>,</w:t>
      </w:r>
      <w:r w:rsidR="00A04879">
        <w:rPr>
          <w:bCs/>
        </w:rPr>
        <w:t xml:space="preserve"> </w:t>
      </w:r>
      <w:r>
        <w:rPr>
          <w:bCs/>
        </w:rPr>
        <w:t xml:space="preserve">was compounded </w:t>
      </w:r>
      <w:r w:rsidR="00A04879">
        <w:rPr>
          <w:bCs/>
        </w:rPr>
        <w:t xml:space="preserve">by </w:t>
      </w:r>
      <w:r w:rsidR="00BD0091">
        <w:rPr>
          <w:bCs/>
        </w:rPr>
        <w:t>his use</w:t>
      </w:r>
      <w:r w:rsidR="00555FF0">
        <w:rPr>
          <w:bCs/>
        </w:rPr>
        <w:t xml:space="preserve"> of </w:t>
      </w:r>
      <w:r w:rsidR="00A04879">
        <w:rPr>
          <w:bCs/>
        </w:rPr>
        <w:t>drugs</w:t>
      </w:r>
      <w:r w:rsidR="00555FF0">
        <w:rPr>
          <w:bCs/>
        </w:rPr>
        <w:t xml:space="preserve">, </w:t>
      </w:r>
      <w:r w:rsidR="00A04879">
        <w:rPr>
          <w:bCs/>
        </w:rPr>
        <w:t>alcohol</w:t>
      </w:r>
      <w:r w:rsidR="00555FF0">
        <w:rPr>
          <w:bCs/>
        </w:rPr>
        <w:t>, and poorly managed epilepsy on his memory</w:t>
      </w:r>
      <w:r w:rsidR="009261C6">
        <w:rPr>
          <w:bCs/>
        </w:rPr>
        <w:t>, organisational skills, and</w:t>
      </w:r>
      <w:r w:rsidR="0021029E">
        <w:rPr>
          <w:bCs/>
        </w:rPr>
        <w:t xml:space="preserve"> on his</w:t>
      </w:r>
      <w:r w:rsidR="009261C6">
        <w:rPr>
          <w:bCs/>
        </w:rPr>
        <w:t xml:space="preserve"> decision-making ability.</w:t>
      </w:r>
      <w:r w:rsidR="00AA485D">
        <w:rPr>
          <w:bCs/>
        </w:rPr>
        <w:t xml:space="preserve"> The cumulative effect of </w:t>
      </w:r>
      <w:r w:rsidR="00563C51">
        <w:rPr>
          <w:bCs/>
        </w:rPr>
        <w:t>Francis’</w:t>
      </w:r>
      <w:r w:rsidR="0021029E">
        <w:rPr>
          <w:bCs/>
        </w:rPr>
        <w:t xml:space="preserve"> poor</w:t>
      </w:r>
      <w:r w:rsidR="008267CB">
        <w:rPr>
          <w:bCs/>
        </w:rPr>
        <w:t xml:space="preserve"> literacy and additional communication needs</w:t>
      </w:r>
      <w:r w:rsidR="00DF4355">
        <w:rPr>
          <w:bCs/>
        </w:rPr>
        <w:t xml:space="preserve">, </w:t>
      </w:r>
      <w:r w:rsidR="000802DA">
        <w:rPr>
          <w:bCs/>
        </w:rPr>
        <w:t xml:space="preserve">significantly increased </w:t>
      </w:r>
      <w:r w:rsidR="00887D41">
        <w:rPr>
          <w:bCs/>
        </w:rPr>
        <w:t xml:space="preserve">and compounded </w:t>
      </w:r>
      <w:r w:rsidR="00DF4355">
        <w:rPr>
          <w:bCs/>
        </w:rPr>
        <w:t xml:space="preserve">the </w:t>
      </w:r>
      <w:r w:rsidR="000802DA">
        <w:rPr>
          <w:bCs/>
        </w:rPr>
        <w:t xml:space="preserve">risk of </w:t>
      </w:r>
      <w:r w:rsidR="00887D41">
        <w:rPr>
          <w:bCs/>
        </w:rPr>
        <w:t>or failed engagement</w:t>
      </w:r>
      <w:r w:rsidR="00AE4210">
        <w:rPr>
          <w:bCs/>
        </w:rPr>
        <w:t xml:space="preserve">. This </w:t>
      </w:r>
      <w:r w:rsidR="00DF4355">
        <w:rPr>
          <w:bCs/>
        </w:rPr>
        <w:t xml:space="preserve">contributed to </w:t>
      </w:r>
      <w:r w:rsidR="00563C51">
        <w:rPr>
          <w:bCs/>
        </w:rPr>
        <w:t>Francis’</w:t>
      </w:r>
      <w:r w:rsidR="00DF4355">
        <w:rPr>
          <w:bCs/>
        </w:rPr>
        <w:t xml:space="preserve"> </w:t>
      </w:r>
      <w:r w:rsidR="003A5B47">
        <w:rPr>
          <w:bCs/>
        </w:rPr>
        <w:t xml:space="preserve">challenges in </w:t>
      </w:r>
      <w:r w:rsidR="00AE4210">
        <w:rPr>
          <w:bCs/>
        </w:rPr>
        <w:t xml:space="preserve">being able to manage his health conditions and </w:t>
      </w:r>
      <w:r w:rsidR="003C2863">
        <w:rPr>
          <w:bCs/>
        </w:rPr>
        <w:t>treatment for alcohol misuse and associated epilepsy</w:t>
      </w:r>
      <w:r w:rsidR="00F5235C">
        <w:rPr>
          <w:bCs/>
        </w:rPr>
        <w:t>.</w:t>
      </w:r>
      <w:r w:rsidR="004A7E8D">
        <w:t xml:space="preserve"> </w:t>
      </w:r>
      <w:r w:rsidR="001630C9">
        <w:t xml:space="preserve">Services often work hard to build and maintain working relationships with people who are described as ‘difficult to engage’, especially in the context of self-neglect. Individuals may be </w:t>
      </w:r>
      <w:r w:rsidR="003A5B47">
        <w:t>described as ‘</w:t>
      </w:r>
      <w:r w:rsidR="001630C9">
        <w:t>difficult to engage</w:t>
      </w:r>
      <w:r w:rsidR="003A5B47">
        <w:t>’</w:t>
      </w:r>
      <w:r w:rsidR="001630C9">
        <w:t xml:space="preserve"> due to a number of reasons related to </w:t>
      </w:r>
      <w:r w:rsidR="001630C9" w:rsidRPr="000C0861">
        <w:rPr>
          <w:i/>
          <w:iCs/>
        </w:rPr>
        <w:t>choice</w:t>
      </w:r>
      <w:r w:rsidR="001630C9">
        <w:t>, including but not limited to</w:t>
      </w:r>
      <w:r w:rsidR="001C3100">
        <w:t>:</w:t>
      </w:r>
      <w:r w:rsidR="001630C9">
        <w:t xml:space="preserve"> </w:t>
      </w:r>
    </w:p>
    <w:p w14:paraId="7E7B0E85" w14:textId="77777777" w:rsidR="001C3100" w:rsidRDefault="001C3100" w:rsidP="002E2BE2"/>
    <w:p w14:paraId="7FBF0F81" w14:textId="278651F7" w:rsidR="004A7E8D" w:rsidRPr="004A7E8D" w:rsidRDefault="004A7E8D" w:rsidP="004A7E8D">
      <w:pPr>
        <w:pStyle w:val="ListParagraph"/>
        <w:numPr>
          <w:ilvl w:val="0"/>
          <w:numId w:val="29"/>
        </w:numPr>
        <w:rPr>
          <w:bCs/>
        </w:rPr>
      </w:pPr>
      <w:r>
        <w:t>A</w:t>
      </w:r>
      <w:r w:rsidR="001630C9">
        <w:t xml:space="preserve"> mistrust in services</w:t>
      </w:r>
    </w:p>
    <w:p w14:paraId="196B3BD5" w14:textId="6703324A" w:rsidR="001C3100" w:rsidRPr="001C3100" w:rsidRDefault="004A7E8D" w:rsidP="004A7E8D">
      <w:pPr>
        <w:pStyle w:val="ListParagraph"/>
        <w:numPr>
          <w:ilvl w:val="0"/>
          <w:numId w:val="29"/>
        </w:numPr>
        <w:rPr>
          <w:bCs/>
        </w:rPr>
      </w:pPr>
      <w:r>
        <w:t>P</w:t>
      </w:r>
      <w:r w:rsidR="001630C9">
        <w:t>ride in independence and self-sufficiency</w:t>
      </w:r>
    </w:p>
    <w:p w14:paraId="13AE718D" w14:textId="00AD3E9E" w:rsidR="001C3100" w:rsidRPr="001C3100" w:rsidRDefault="001C3100" w:rsidP="004A7E8D">
      <w:pPr>
        <w:pStyle w:val="ListParagraph"/>
        <w:numPr>
          <w:ilvl w:val="0"/>
          <w:numId w:val="29"/>
        </w:numPr>
        <w:rPr>
          <w:bCs/>
        </w:rPr>
      </w:pPr>
      <w:r>
        <w:t>D</w:t>
      </w:r>
      <w:r w:rsidR="001630C9">
        <w:t>enial of concerns</w:t>
      </w:r>
    </w:p>
    <w:p w14:paraId="1DD820C0" w14:textId="1147DEEF" w:rsidR="001C3100" w:rsidRPr="001C3100" w:rsidRDefault="001C3100" w:rsidP="001C3100">
      <w:pPr>
        <w:pStyle w:val="ListParagraph"/>
        <w:numPr>
          <w:ilvl w:val="0"/>
          <w:numId w:val="29"/>
        </w:numPr>
        <w:rPr>
          <w:bCs/>
        </w:rPr>
      </w:pPr>
      <w:r>
        <w:t>O</w:t>
      </w:r>
      <w:r w:rsidR="001630C9">
        <w:t xml:space="preserve">ther conditions such as mental ill-health. </w:t>
      </w:r>
    </w:p>
    <w:p w14:paraId="43C5672E" w14:textId="77777777" w:rsidR="001C3100" w:rsidRDefault="001C3100" w:rsidP="001C3100"/>
    <w:p w14:paraId="288EE23F" w14:textId="36A5055C" w:rsidR="00645786" w:rsidRPr="001C3100" w:rsidRDefault="001630C9" w:rsidP="001C3100">
      <w:pPr>
        <w:rPr>
          <w:bCs/>
        </w:rPr>
      </w:pPr>
      <w:r>
        <w:t xml:space="preserve">Other </w:t>
      </w:r>
      <w:r w:rsidR="00EA4E6A">
        <w:t>factors</w:t>
      </w:r>
      <w:r>
        <w:t xml:space="preserve">, including low levels of literacy and memory difficulties, </w:t>
      </w:r>
      <w:r w:rsidR="009E6EC9">
        <w:t xml:space="preserve">or even the ‘undue influence of others’ </w:t>
      </w:r>
      <w:r>
        <w:t xml:space="preserve">relate to an individual’s </w:t>
      </w:r>
      <w:r w:rsidRPr="001C3100">
        <w:rPr>
          <w:i/>
          <w:iCs/>
        </w:rPr>
        <w:t>ability</w:t>
      </w:r>
      <w:r>
        <w:t xml:space="preserve"> to </w:t>
      </w:r>
      <w:r w:rsidR="00EA4E6A">
        <w:t xml:space="preserve">engage, to </w:t>
      </w:r>
      <w:r>
        <w:t>maintain contact, appointments, or organise their treatment.</w:t>
      </w:r>
      <w:r w:rsidR="00014CA3">
        <w:t xml:space="preserve"> Often the reasons for </w:t>
      </w:r>
      <w:r w:rsidR="00FC65DC">
        <w:t>an individual being seen as ‘</w:t>
      </w:r>
      <w:r w:rsidR="00014CA3">
        <w:t>difficul</w:t>
      </w:r>
      <w:r w:rsidR="00FC65DC">
        <w:t>t</w:t>
      </w:r>
      <w:r w:rsidR="00014CA3">
        <w:t xml:space="preserve"> </w:t>
      </w:r>
      <w:r w:rsidR="00FC65DC">
        <w:t xml:space="preserve">to </w:t>
      </w:r>
      <w:r w:rsidR="00014CA3">
        <w:t>engage</w:t>
      </w:r>
      <w:r w:rsidR="00FC65DC">
        <w:t>’</w:t>
      </w:r>
      <w:r w:rsidR="00014CA3">
        <w:t xml:space="preserve"> will be a combination of the two.</w:t>
      </w:r>
    </w:p>
    <w:p w14:paraId="6FC3B0C4" w14:textId="77777777" w:rsidR="002E2BE2" w:rsidRDefault="002E2BE2" w:rsidP="002E2BE2">
      <w:pPr>
        <w:rPr>
          <w:bCs/>
        </w:rPr>
      </w:pPr>
    </w:p>
    <w:p w14:paraId="408F8049" w14:textId="77777777" w:rsidR="000E6AAA" w:rsidRDefault="000E6AAA" w:rsidP="000E6AAA">
      <w:pPr>
        <w:pStyle w:val="Findingtext"/>
      </w:pPr>
    </w:p>
    <w:p w14:paraId="5C39360D" w14:textId="5B8EEA2C" w:rsidR="000E6AAA" w:rsidRDefault="000E6AAA" w:rsidP="000E6AAA">
      <w:pPr>
        <w:pStyle w:val="FindingTitle"/>
      </w:pPr>
      <w:bookmarkStart w:id="33" w:name="_Toc165109330"/>
      <w:r>
        <w:t xml:space="preserve">Finding </w:t>
      </w:r>
      <w:r w:rsidR="00A628E3">
        <w:t>6</w:t>
      </w:r>
      <w:r>
        <w:t xml:space="preserve">: </w:t>
      </w:r>
      <w:r w:rsidR="008A670D">
        <w:t>C</w:t>
      </w:r>
      <w:r w:rsidR="00DA523B">
        <w:t xml:space="preserve">hoice </w:t>
      </w:r>
      <w:r w:rsidR="008A670D">
        <w:t>or</w:t>
      </w:r>
      <w:r w:rsidR="00DA523B">
        <w:t xml:space="preserve"> a</w:t>
      </w:r>
      <w:r w:rsidR="006C1465">
        <w:t>bility to engage</w:t>
      </w:r>
      <w:r w:rsidR="008A670D">
        <w:t>?</w:t>
      </w:r>
      <w:bookmarkEnd w:id="33"/>
    </w:p>
    <w:p w14:paraId="19DB8025" w14:textId="77777777" w:rsidR="000E6AAA" w:rsidRDefault="000E6AAA" w:rsidP="000E6AAA">
      <w:pPr>
        <w:pStyle w:val="Findingtext"/>
      </w:pPr>
    </w:p>
    <w:p w14:paraId="14CFC2BE" w14:textId="77777777" w:rsidR="000E6AAA" w:rsidRPr="007354B8" w:rsidRDefault="000E6AAA" w:rsidP="000E6AAA">
      <w:pPr>
        <w:pStyle w:val="Findingtext"/>
        <w:rPr>
          <w:b/>
          <w:bCs/>
        </w:rPr>
      </w:pPr>
      <w:r w:rsidRPr="007354B8">
        <w:rPr>
          <w:b/>
          <w:bCs/>
        </w:rPr>
        <w:t>Underlying issue</w:t>
      </w:r>
    </w:p>
    <w:p w14:paraId="0D410AD0" w14:textId="1FE3CDE2" w:rsidR="000E6AAA" w:rsidRDefault="001630C9" w:rsidP="000E6AAA">
      <w:pPr>
        <w:pStyle w:val="Findingtext"/>
      </w:pPr>
      <w:r>
        <w:t xml:space="preserve">When working with individuals who are ‘difficult to engage’ </w:t>
      </w:r>
      <w:r w:rsidR="00406D1E">
        <w:t>in the context of self-neglect, services often work on the basis that an individual is ambivalent about their support, mist</w:t>
      </w:r>
      <w:r w:rsidR="002A1253">
        <w:t>rustful of services, or otherwise reluctant to accept the support and services that they need</w:t>
      </w:r>
      <w:r w:rsidR="00BA721B">
        <w:t>,</w:t>
      </w:r>
      <w:r w:rsidR="009E6EC9">
        <w:t xml:space="preserve"> </w:t>
      </w:r>
      <w:r w:rsidR="00BA721B">
        <w:t xml:space="preserve">i.e., that they are making a </w:t>
      </w:r>
      <w:r w:rsidR="00BA721B" w:rsidRPr="000C0861">
        <w:rPr>
          <w:i/>
          <w:iCs/>
        </w:rPr>
        <w:t>choice</w:t>
      </w:r>
      <w:r w:rsidR="00BA721B">
        <w:t xml:space="preserve"> not to engage. I</w:t>
      </w:r>
      <w:r w:rsidR="00D41DC9">
        <w:t xml:space="preserve">t is important that </w:t>
      </w:r>
      <w:r w:rsidR="003E4A72">
        <w:t xml:space="preserve">agencies consider </w:t>
      </w:r>
      <w:r w:rsidR="00D41DC9">
        <w:t xml:space="preserve">an individual’s </w:t>
      </w:r>
      <w:r w:rsidR="003E4A72">
        <w:rPr>
          <w:i/>
          <w:iCs/>
        </w:rPr>
        <w:t xml:space="preserve">ability </w:t>
      </w:r>
      <w:r w:rsidR="003E4A72">
        <w:t>factors</w:t>
      </w:r>
      <w:r w:rsidR="00F835B4">
        <w:t xml:space="preserve"> before n</w:t>
      </w:r>
      <w:r w:rsidR="00017727">
        <w:t xml:space="preserve">on-engagement </w:t>
      </w:r>
      <w:r w:rsidR="00F835B4">
        <w:t>is attributed to a choice</w:t>
      </w:r>
      <w:r w:rsidR="001D0C61">
        <w:t>.</w:t>
      </w:r>
    </w:p>
    <w:p w14:paraId="13488889" w14:textId="77777777" w:rsidR="000E6AAA" w:rsidRDefault="000E6AAA" w:rsidP="000E6AAA">
      <w:pPr>
        <w:pStyle w:val="Findingtext"/>
      </w:pPr>
    </w:p>
    <w:p w14:paraId="60AAACDF" w14:textId="015E1B4A" w:rsidR="000E6AAA" w:rsidRPr="007354B8" w:rsidRDefault="00FC65DC" w:rsidP="000E6AAA">
      <w:pPr>
        <w:pStyle w:val="Findingtext"/>
        <w:rPr>
          <w:b/>
          <w:bCs/>
        </w:rPr>
      </w:pPr>
      <w:r>
        <w:rPr>
          <w:b/>
          <w:bCs/>
        </w:rPr>
        <w:t xml:space="preserve">Rationale </w:t>
      </w:r>
      <w:r w:rsidR="00767D10">
        <w:rPr>
          <w:b/>
          <w:bCs/>
        </w:rPr>
        <w:t>for change</w:t>
      </w:r>
    </w:p>
    <w:p w14:paraId="71C855D2" w14:textId="26153656" w:rsidR="000E6AAA" w:rsidRDefault="00203CCB" w:rsidP="000E6AAA">
      <w:pPr>
        <w:pStyle w:val="Findingtext"/>
      </w:pPr>
      <w:r>
        <w:t xml:space="preserve">When </w:t>
      </w:r>
      <w:r w:rsidR="00465DEA">
        <w:t>engagement difficulties relate</w:t>
      </w:r>
      <w:r>
        <w:t xml:space="preserve"> primarily</w:t>
      </w:r>
      <w:r w:rsidR="00465DEA">
        <w:t xml:space="preserve"> to ability</w:t>
      </w:r>
      <w:r>
        <w:t xml:space="preserve"> rather than choice</w:t>
      </w:r>
      <w:r w:rsidR="00465DEA">
        <w:t>, including literacy or memory</w:t>
      </w:r>
      <w:r w:rsidR="00B805B6">
        <w:t>, or self-organisation skills</w:t>
      </w:r>
      <w:r w:rsidR="00CB4857">
        <w:t xml:space="preserve">, </w:t>
      </w:r>
      <w:r w:rsidR="003100D9">
        <w:t xml:space="preserve">efforts to encourage an individual to </w:t>
      </w:r>
      <w:r w:rsidR="003100D9" w:rsidRPr="000C0861">
        <w:rPr>
          <w:i/>
          <w:iCs/>
        </w:rPr>
        <w:t>choose</w:t>
      </w:r>
      <w:r w:rsidR="003100D9">
        <w:t xml:space="preserve"> to engage </w:t>
      </w:r>
      <w:r w:rsidR="00CB4857">
        <w:t xml:space="preserve">are likely to be only </w:t>
      </w:r>
      <w:r w:rsidR="003100D9">
        <w:t>partially effective</w:t>
      </w:r>
      <w:r w:rsidR="00CB4857">
        <w:t xml:space="preserve"> at best</w:t>
      </w:r>
      <w:r w:rsidR="003100D9">
        <w:t>.</w:t>
      </w:r>
      <w:r w:rsidR="00981EFA">
        <w:t xml:space="preserve"> At worst</w:t>
      </w:r>
      <w:r w:rsidR="00CB4857">
        <w:t>,</w:t>
      </w:r>
      <w:r w:rsidR="00981EFA">
        <w:t xml:space="preserve"> an individual who would otherwise accept support may be discharged or </w:t>
      </w:r>
      <w:r w:rsidR="00ED4093">
        <w:t>closed due to non-engagement.</w:t>
      </w:r>
      <w:r w:rsidR="003100D9">
        <w:t xml:space="preserve"> </w:t>
      </w:r>
    </w:p>
    <w:p w14:paraId="4AF7391A" w14:textId="77777777" w:rsidR="00767D10" w:rsidRDefault="00767D10" w:rsidP="000E6AAA">
      <w:pPr>
        <w:pStyle w:val="Findingtext"/>
      </w:pPr>
    </w:p>
    <w:p w14:paraId="380417E9" w14:textId="16D25A56" w:rsidR="000E6AAA" w:rsidRDefault="00767D10" w:rsidP="000E6AAA">
      <w:pPr>
        <w:pStyle w:val="Findingtext"/>
        <w:rPr>
          <w:b/>
          <w:bCs/>
        </w:rPr>
      </w:pPr>
      <w:r>
        <w:rPr>
          <w:b/>
          <w:bCs/>
        </w:rPr>
        <w:t>Questions for the Safeguarding Adults Board</w:t>
      </w:r>
    </w:p>
    <w:p w14:paraId="6588C5FA" w14:textId="77777777" w:rsidR="00767D10" w:rsidRDefault="00767D10" w:rsidP="000E6AAA">
      <w:pPr>
        <w:pStyle w:val="Findingtext"/>
        <w:rPr>
          <w:b/>
          <w:bCs/>
        </w:rPr>
      </w:pPr>
    </w:p>
    <w:p w14:paraId="01B4490B" w14:textId="35896CC1" w:rsidR="00F17318" w:rsidRPr="003900E3" w:rsidRDefault="00F17318" w:rsidP="00F17318">
      <w:pPr>
        <w:pBdr>
          <w:top w:val="single" w:sz="4" w:space="1" w:color="auto"/>
          <w:left w:val="single" w:sz="4" w:space="4" w:color="auto"/>
          <w:bottom w:val="single" w:sz="4" w:space="1" w:color="auto"/>
          <w:right w:val="single" w:sz="4" w:space="4" w:color="auto"/>
        </w:pBdr>
        <w:shd w:val="clear" w:color="auto" w:fill="D3C1FF"/>
        <w:ind w:left="1701" w:hanging="1701"/>
        <w:rPr>
          <w:rFonts w:eastAsia="Calibri" w:cs="Arial"/>
        </w:rPr>
      </w:pPr>
      <w:r w:rsidRPr="003900E3">
        <w:rPr>
          <w:rFonts w:eastAsia="Calibri" w:cs="Arial"/>
          <w:b/>
          <w:bCs/>
        </w:rPr>
        <w:t xml:space="preserve">Finding 6, </w:t>
      </w:r>
      <w:proofErr w:type="spellStart"/>
      <w:r w:rsidRPr="003900E3">
        <w:rPr>
          <w:rFonts w:eastAsia="Calibri" w:cs="Arial"/>
          <w:b/>
          <w:bCs/>
        </w:rPr>
        <w:t>Q1</w:t>
      </w:r>
      <w:proofErr w:type="spellEnd"/>
      <w:r w:rsidRPr="003900E3">
        <w:rPr>
          <w:rFonts w:eastAsia="Calibri" w:cs="Arial"/>
          <w:b/>
          <w:bCs/>
        </w:rPr>
        <w:t>:</w:t>
      </w:r>
      <w:r w:rsidRPr="003900E3">
        <w:rPr>
          <w:rFonts w:eastAsia="Calibri" w:cs="Arial"/>
          <w:b/>
          <w:bCs/>
        </w:rPr>
        <w:tab/>
      </w:r>
      <w:r w:rsidR="00687880">
        <w:rPr>
          <w:rFonts w:eastAsia="Calibri" w:cs="Arial"/>
        </w:rPr>
        <w:t>How can the Board raise the awareness of adult literacy issues</w:t>
      </w:r>
      <w:r w:rsidR="00FE77F5">
        <w:rPr>
          <w:rFonts w:eastAsia="Calibri" w:cs="Arial"/>
        </w:rPr>
        <w:t xml:space="preserve"> and the consequences for engagement with services?</w:t>
      </w:r>
    </w:p>
    <w:p w14:paraId="1190EAB7" w14:textId="661814AF" w:rsidR="00767D10" w:rsidRDefault="00F17318" w:rsidP="000C0861">
      <w:pPr>
        <w:pStyle w:val="Findingtext"/>
        <w:ind w:left="1701" w:hanging="1701"/>
        <w:rPr>
          <w:b/>
          <w:bCs/>
        </w:rPr>
      </w:pPr>
      <w:r w:rsidRPr="003900E3">
        <w:rPr>
          <w:b/>
          <w:bCs/>
        </w:rPr>
        <w:t xml:space="preserve">Finding 6, </w:t>
      </w:r>
      <w:proofErr w:type="spellStart"/>
      <w:r w:rsidRPr="003900E3">
        <w:rPr>
          <w:b/>
          <w:bCs/>
        </w:rPr>
        <w:t>Q2</w:t>
      </w:r>
      <w:proofErr w:type="spellEnd"/>
      <w:r w:rsidRPr="003900E3">
        <w:rPr>
          <w:b/>
          <w:bCs/>
        </w:rPr>
        <w:t>:</w:t>
      </w:r>
      <w:r w:rsidRPr="003900E3">
        <w:tab/>
      </w:r>
      <w:r w:rsidR="00FE77F5">
        <w:t>What support is available for adults with care and support needs to improve their literacy skills and</w:t>
      </w:r>
      <w:r w:rsidR="003C7AC7">
        <w:t xml:space="preserve"> support engagement skills, such as diary and time management</w:t>
      </w:r>
      <w:r>
        <w:t>?</w:t>
      </w:r>
      <w:r w:rsidR="00E858AF">
        <w:t xml:space="preserve"> </w:t>
      </w:r>
      <w:r w:rsidR="00E858AF" w:rsidRPr="00E858AF">
        <w:t>Does the Safeguarding Adults Board produce any easy-read materials about safeguarding?</w:t>
      </w:r>
    </w:p>
    <w:p w14:paraId="0D2B5026" w14:textId="77777777" w:rsidR="000E6AAA" w:rsidRDefault="000E6AAA" w:rsidP="000E6AAA">
      <w:pPr>
        <w:pStyle w:val="Findingtext"/>
      </w:pPr>
    </w:p>
    <w:p w14:paraId="6E87AEB3" w14:textId="6D7F7809" w:rsidR="00F17318" w:rsidRPr="000C0861" w:rsidRDefault="00F17318" w:rsidP="000E6AAA">
      <w:pPr>
        <w:pStyle w:val="Findingtext"/>
        <w:rPr>
          <w:b/>
          <w:bCs/>
        </w:rPr>
      </w:pPr>
      <w:r>
        <w:rPr>
          <w:b/>
          <w:bCs/>
        </w:rPr>
        <w:t>Impact and measurement</w:t>
      </w:r>
    </w:p>
    <w:p w14:paraId="7CE3F627" w14:textId="470D55FC" w:rsidR="00F17318" w:rsidRPr="00255B29" w:rsidRDefault="006A2694" w:rsidP="000E6AAA">
      <w:pPr>
        <w:pStyle w:val="Findingtext"/>
      </w:pPr>
      <w:r>
        <w:t xml:space="preserve">This finding is about raising the awareness of adult literacy issues, and </w:t>
      </w:r>
      <w:r w:rsidR="00255B29">
        <w:t xml:space="preserve">challenge assumptions about </w:t>
      </w:r>
      <w:r w:rsidR="00255B29">
        <w:rPr>
          <w:i/>
          <w:iCs/>
        </w:rPr>
        <w:t xml:space="preserve">choice </w:t>
      </w:r>
      <w:r w:rsidR="00255B29">
        <w:t xml:space="preserve">and </w:t>
      </w:r>
      <w:r w:rsidR="00255B29">
        <w:rPr>
          <w:i/>
          <w:iCs/>
        </w:rPr>
        <w:t>ability</w:t>
      </w:r>
      <w:r w:rsidR="00255B29">
        <w:t xml:space="preserve"> in non-engagement and individuals described as “difficult to engage”. In a system dominated by letters and written communication</w:t>
      </w:r>
      <w:r w:rsidR="00495D27">
        <w:t xml:space="preserve">, this finding calls for a more sophisticated approach when an individual is unable to maintain engagement due to communication or literacy issues. </w:t>
      </w:r>
      <w:r w:rsidR="00911AD2">
        <w:t>Actions may include working with organisations who support adult learners and literacy programmes</w:t>
      </w:r>
      <w:r w:rsidR="0002176F">
        <w:t xml:space="preserve"> and providing training or professional development activities focused on the issues of adult literacy.</w:t>
      </w:r>
      <w:r w:rsidR="002271EE">
        <w:t xml:space="preserve"> Measures may include surveying staff opinions, attendance and feedback at any events, </w:t>
      </w:r>
      <w:r w:rsidR="00926511">
        <w:t>and mapping and publicising the support available.</w:t>
      </w:r>
    </w:p>
    <w:p w14:paraId="22FEA658" w14:textId="77777777" w:rsidR="00F17318" w:rsidRDefault="00F17318" w:rsidP="000E6AAA">
      <w:pPr>
        <w:pStyle w:val="Findingtext"/>
      </w:pPr>
    </w:p>
    <w:p w14:paraId="2F613DE0" w14:textId="77777777" w:rsidR="000E6AAA" w:rsidRDefault="000E6AAA" w:rsidP="002E2BE2">
      <w:pPr>
        <w:rPr>
          <w:bCs/>
        </w:rPr>
      </w:pPr>
    </w:p>
    <w:p w14:paraId="7A691FCF" w14:textId="77777777" w:rsidR="00F6589B" w:rsidRDefault="00F6589B">
      <w:pPr>
        <w:spacing w:after="160" w:line="259" w:lineRule="auto"/>
        <w:rPr>
          <w:rFonts w:eastAsiaTheme="majorEastAsia" w:cstheme="majorBidi"/>
          <w:color w:val="660066"/>
          <w:sz w:val="24"/>
          <w:szCs w:val="26"/>
        </w:rPr>
      </w:pPr>
      <w:r>
        <w:br w:type="page"/>
      </w:r>
    </w:p>
    <w:p w14:paraId="48BC2288" w14:textId="77EA8123" w:rsidR="002E2BE2" w:rsidRDefault="002E2BE2" w:rsidP="002E2BE2">
      <w:pPr>
        <w:pStyle w:val="Heading2"/>
        <w:spacing w:after="0"/>
      </w:pPr>
      <w:bookmarkStart w:id="34" w:name="_Toc165109331"/>
      <w:r>
        <w:t xml:space="preserve">TOR </w:t>
      </w:r>
      <w:r w:rsidR="00A62260">
        <w:t>7</w:t>
      </w:r>
      <w:r>
        <w:t xml:space="preserve">: </w:t>
      </w:r>
      <w:r w:rsidR="009C7F7A">
        <w:t>Professional curiosity in risk management</w:t>
      </w:r>
      <w:bookmarkEnd w:id="34"/>
    </w:p>
    <w:p w14:paraId="45FA49B2" w14:textId="3EA39D16" w:rsidR="002E2BE2" w:rsidRPr="004B4113" w:rsidRDefault="00217FF1" w:rsidP="002E2BE2">
      <w:pPr>
        <w:rPr>
          <w:bCs/>
          <w:i/>
          <w:iCs/>
        </w:rPr>
      </w:pPr>
      <w:r w:rsidRPr="00217FF1">
        <w:rPr>
          <w:bCs/>
          <w:i/>
          <w:iCs/>
        </w:rPr>
        <w:t>How did professionals use their knowledge about risk within the case, and did this inform their perspective and evaluation of presenting information or did professionals simply accept information at face value?</w:t>
      </w:r>
    </w:p>
    <w:p w14:paraId="2DE9F89F" w14:textId="77777777" w:rsidR="002E2BE2" w:rsidRDefault="002E2BE2" w:rsidP="002E2BE2">
      <w:pPr>
        <w:rPr>
          <w:bCs/>
        </w:rPr>
      </w:pPr>
    </w:p>
    <w:p w14:paraId="03F3C621" w14:textId="77777777" w:rsidR="002E2BE2" w:rsidRPr="00FE33D8" w:rsidRDefault="002E2BE2" w:rsidP="002E2BE2">
      <w:pPr>
        <w:rPr>
          <w:b/>
        </w:rPr>
      </w:pPr>
      <w:r w:rsidRPr="00FE33D8">
        <w:rPr>
          <w:b/>
        </w:rPr>
        <w:t>Context</w:t>
      </w:r>
    </w:p>
    <w:p w14:paraId="167861F1" w14:textId="77777777" w:rsidR="00B31FC5" w:rsidRDefault="00B31FC5" w:rsidP="002E2BE2">
      <w:pPr>
        <w:rPr>
          <w:bCs/>
        </w:rPr>
      </w:pPr>
    </w:p>
    <w:p w14:paraId="735FED28" w14:textId="30FA2E08" w:rsidR="00AA29AA" w:rsidRDefault="00201334" w:rsidP="00010670">
      <w:pPr>
        <w:ind w:left="993" w:right="1253" w:hanging="273"/>
        <w:rPr>
          <w:rFonts w:ascii="Times New Roman" w:hAnsi="Times New Roman" w:cs="Times New Roman"/>
          <w:b/>
        </w:rPr>
      </w:pPr>
      <w:r w:rsidRPr="00010670">
        <w:rPr>
          <w:rFonts w:ascii="Times New Roman" w:hAnsi="Times New Roman" w:cs="Times New Roman"/>
          <w:b/>
        </w:rPr>
        <w:t>Curiosity</w:t>
      </w:r>
      <w:r w:rsidR="002A5310" w:rsidRPr="00010670">
        <w:rPr>
          <w:rFonts w:ascii="Times New Roman" w:hAnsi="Times New Roman" w:cs="Times New Roman"/>
          <w:b/>
        </w:rPr>
        <w:t xml:space="preserve">, </w:t>
      </w:r>
      <w:r w:rsidR="002A5310" w:rsidRPr="00010670">
        <w:rPr>
          <w:rFonts w:ascii="Times New Roman" w:hAnsi="Times New Roman" w:cs="Times New Roman"/>
          <w:bCs/>
        </w:rPr>
        <w:t>n.</w:t>
      </w:r>
      <w:r w:rsidR="00C015E9">
        <w:rPr>
          <w:rFonts w:ascii="Times New Roman" w:hAnsi="Times New Roman" w:cs="Times New Roman"/>
          <w:bCs/>
        </w:rPr>
        <w:t xml:space="preserve"> </w:t>
      </w:r>
      <w:r w:rsidR="002A5310" w:rsidRPr="00010670">
        <w:rPr>
          <w:rFonts w:ascii="Times New Roman" w:hAnsi="Times New Roman" w:cs="Times New Roman"/>
          <w:b/>
        </w:rPr>
        <w:t>1</w:t>
      </w:r>
      <w:r w:rsidR="007A0C07" w:rsidRPr="00010670">
        <w:rPr>
          <w:rFonts w:ascii="Times New Roman" w:hAnsi="Times New Roman" w:cs="Times New Roman"/>
          <w:b/>
        </w:rPr>
        <w:t xml:space="preserve"> </w:t>
      </w:r>
      <w:r w:rsidR="007A0C07" w:rsidRPr="00010670">
        <w:rPr>
          <w:rFonts w:ascii="Times New Roman" w:hAnsi="Times New Roman" w:cs="Times New Roman"/>
          <w:bCs/>
        </w:rPr>
        <w:t xml:space="preserve">a strong desire to know or learn something. </w:t>
      </w:r>
      <w:r w:rsidR="007A0C07" w:rsidRPr="00010670">
        <w:rPr>
          <w:rFonts w:ascii="Times New Roman" w:hAnsi="Times New Roman" w:cs="Times New Roman"/>
          <w:b/>
        </w:rPr>
        <w:t>2</w:t>
      </w:r>
      <w:r w:rsidR="007A0C07" w:rsidRPr="00010670">
        <w:rPr>
          <w:rFonts w:ascii="Times New Roman" w:hAnsi="Times New Roman" w:cs="Times New Roman"/>
          <w:bCs/>
        </w:rPr>
        <w:t xml:space="preserve"> </w:t>
      </w:r>
      <w:r w:rsidR="00860B14" w:rsidRPr="00010670">
        <w:rPr>
          <w:rFonts w:ascii="Times New Roman" w:hAnsi="Times New Roman" w:cs="Times New Roman"/>
          <w:bCs/>
        </w:rPr>
        <w:t>An unusual or interesting object</w:t>
      </w:r>
      <w:r w:rsidR="00492963" w:rsidRPr="00010670">
        <w:rPr>
          <w:rFonts w:ascii="Times New Roman" w:hAnsi="Times New Roman" w:cs="Times New Roman"/>
          <w:b/>
        </w:rPr>
        <w:t xml:space="preserve"> </w:t>
      </w:r>
      <w:r w:rsidR="00C015E9" w:rsidRPr="000537D2">
        <w:rPr>
          <w:rFonts w:ascii="Times New Roman" w:hAnsi="Times New Roman" w:cs="Times New Roman"/>
          <w:bCs/>
        </w:rPr>
        <w:t xml:space="preserve">(OED, </w:t>
      </w:r>
      <w:r w:rsidR="000537D2" w:rsidRPr="000537D2">
        <w:rPr>
          <w:rFonts w:ascii="Times New Roman" w:hAnsi="Times New Roman" w:cs="Times New Roman"/>
          <w:bCs/>
        </w:rPr>
        <w:t>2006)</w:t>
      </w:r>
    </w:p>
    <w:p w14:paraId="744D4BC2" w14:textId="77777777" w:rsidR="00905ED1" w:rsidRDefault="00905ED1" w:rsidP="00010670">
      <w:pPr>
        <w:ind w:left="993" w:right="1253" w:hanging="273"/>
        <w:rPr>
          <w:rFonts w:ascii="Times New Roman" w:hAnsi="Times New Roman" w:cs="Times New Roman"/>
          <w:b/>
        </w:rPr>
      </w:pPr>
    </w:p>
    <w:p w14:paraId="34D13B45" w14:textId="59DF05AA" w:rsidR="00905ED1" w:rsidRPr="009160FC" w:rsidRDefault="00905ED1" w:rsidP="00010670">
      <w:pPr>
        <w:ind w:left="993" w:right="1253" w:hanging="273"/>
        <w:rPr>
          <w:rFonts w:ascii="Times New Roman" w:hAnsi="Times New Roman" w:cs="Times New Roman"/>
          <w:bCs/>
        </w:rPr>
      </w:pPr>
      <w:r>
        <w:rPr>
          <w:rFonts w:ascii="Times New Roman" w:hAnsi="Times New Roman" w:cs="Times New Roman"/>
          <w:b/>
        </w:rPr>
        <w:t>Professional curiosity</w:t>
      </w:r>
      <w:r w:rsidR="009160FC">
        <w:rPr>
          <w:rFonts w:ascii="Times New Roman" w:hAnsi="Times New Roman" w:cs="Times New Roman"/>
          <w:b/>
        </w:rPr>
        <w:t xml:space="preserve">, </w:t>
      </w:r>
      <w:r w:rsidR="009160FC">
        <w:rPr>
          <w:rFonts w:ascii="Times New Roman" w:hAnsi="Times New Roman" w:cs="Times New Roman"/>
          <w:bCs/>
        </w:rPr>
        <w:t>n.</w:t>
      </w:r>
      <w:r w:rsidR="00D04FEA">
        <w:rPr>
          <w:rFonts w:ascii="Times New Roman" w:hAnsi="Times New Roman" w:cs="Times New Roman"/>
          <w:bCs/>
        </w:rPr>
        <w:t xml:space="preserve"> “</w:t>
      </w:r>
      <w:r w:rsidR="00D04FEA" w:rsidRPr="00D04FEA">
        <w:rPr>
          <w:rFonts w:ascii="Times New Roman" w:hAnsi="Times New Roman" w:cs="Times New Roman"/>
          <w:bCs/>
        </w:rPr>
        <w:t>the capacity and communication skill to explore and understand what is happening within a family rather than making assumptions or accepting things at face value”</w:t>
      </w:r>
      <w:r w:rsidR="000537D2">
        <w:rPr>
          <w:rFonts w:ascii="Times New Roman" w:hAnsi="Times New Roman" w:cs="Times New Roman"/>
          <w:bCs/>
        </w:rPr>
        <w:t xml:space="preserve"> (Safeguarding Adult Boards</w:t>
      </w:r>
      <w:r w:rsidR="00B07F07">
        <w:rPr>
          <w:rFonts w:ascii="Times New Roman" w:hAnsi="Times New Roman" w:cs="Times New Roman"/>
          <w:bCs/>
        </w:rPr>
        <w:t>, 2000)</w:t>
      </w:r>
    </w:p>
    <w:p w14:paraId="7AAEFFD7" w14:textId="77777777" w:rsidR="00AA29AA" w:rsidRDefault="00AA29AA" w:rsidP="002E2BE2">
      <w:pPr>
        <w:rPr>
          <w:bCs/>
        </w:rPr>
      </w:pPr>
    </w:p>
    <w:p w14:paraId="2D6BFFD7" w14:textId="29160043" w:rsidR="005B0055" w:rsidRDefault="00C60C8B" w:rsidP="002E2BE2">
      <w:pPr>
        <w:rPr>
          <w:bCs/>
        </w:rPr>
      </w:pPr>
      <w:r>
        <w:rPr>
          <w:bCs/>
        </w:rPr>
        <w:t>Professional curiosity</w:t>
      </w:r>
      <w:r w:rsidR="00B31FC5">
        <w:rPr>
          <w:bCs/>
        </w:rPr>
        <w:t xml:space="preserve"> is a term </w:t>
      </w:r>
      <w:r w:rsidR="00BB144A">
        <w:rPr>
          <w:bCs/>
        </w:rPr>
        <w:t xml:space="preserve">which has been used often in </w:t>
      </w:r>
      <w:r w:rsidR="003F0080">
        <w:rPr>
          <w:bCs/>
        </w:rPr>
        <w:t>Child Safeguarding Practice Reviews</w:t>
      </w:r>
      <w:r w:rsidR="00BB144A">
        <w:rPr>
          <w:bCs/>
        </w:rPr>
        <w:t xml:space="preserve"> and Child Practice Reviews, and increasingly in Safeguarding Adults Reviews</w:t>
      </w:r>
      <w:r w:rsidR="000428DA">
        <w:rPr>
          <w:bCs/>
        </w:rPr>
        <w:t xml:space="preserve"> alongside related terms such as ‘respectful uncertainty’, and ‘think the unthinkable’. </w:t>
      </w:r>
      <w:r w:rsidR="00413DCE">
        <w:rPr>
          <w:bCs/>
        </w:rPr>
        <w:t xml:space="preserve">It is often used to describe the situation where </w:t>
      </w:r>
      <w:r w:rsidR="00835189">
        <w:rPr>
          <w:bCs/>
        </w:rPr>
        <w:t>evidence or signs of abuse</w:t>
      </w:r>
      <w:r w:rsidR="00944777">
        <w:rPr>
          <w:bCs/>
        </w:rPr>
        <w:t xml:space="preserve"> have been missed</w:t>
      </w:r>
      <w:r w:rsidR="00835189">
        <w:rPr>
          <w:bCs/>
        </w:rPr>
        <w:t xml:space="preserve">, </w:t>
      </w:r>
      <w:r w:rsidR="002136C6">
        <w:rPr>
          <w:bCs/>
        </w:rPr>
        <w:t xml:space="preserve">or where explanations have been accepted that later turn out to be </w:t>
      </w:r>
      <w:r w:rsidR="002C05D2">
        <w:rPr>
          <w:bCs/>
        </w:rPr>
        <w:t xml:space="preserve">false, or where a professional fails to follow up on </w:t>
      </w:r>
      <w:r w:rsidR="00835189">
        <w:rPr>
          <w:bCs/>
        </w:rPr>
        <w:t>what later turns out to be a crucial line of enquiry.</w:t>
      </w:r>
      <w:r w:rsidR="00203E1D">
        <w:rPr>
          <w:bCs/>
        </w:rPr>
        <w:t xml:space="preserve"> </w:t>
      </w:r>
      <w:r w:rsidR="005B0055">
        <w:rPr>
          <w:bCs/>
        </w:rPr>
        <w:t>Identifying failures in professional curiosity often requires a degree of hindsight</w:t>
      </w:r>
      <w:r w:rsidR="0097692A">
        <w:rPr>
          <w:bCs/>
        </w:rPr>
        <w:t xml:space="preserve">, and combined with the focus on </w:t>
      </w:r>
      <w:r w:rsidR="009D4BB9">
        <w:rPr>
          <w:bCs/>
        </w:rPr>
        <w:t xml:space="preserve">individual </w:t>
      </w:r>
      <w:r w:rsidR="0097692A">
        <w:rPr>
          <w:bCs/>
        </w:rPr>
        <w:t xml:space="preserve">professional practice, </w:t>
      </w:r>
      <w:r w:rsidR="009D4BB9">
        <w:rPr>
          <w:bCs/>
        </w:rPr>
        <w:t xml:space="preserve">it is important that </w:t>
      </w:r>
      <w:r w:rsidR="00A35B90">
        <w:rPr>
          <w:bCs/>
        </w:rPr>
        <w:t xml:space="preserve">the concept of professional curiosity is used to encourage </w:t>
      </w:r>
      <w:r w:rsidR="009D4BB9">
        <w:rPr>
          <w:bCs/>
        </w:rPr>
        <w:t xml:space="preserve">rather than to judge. </w:t>
      </w:r>
      <w:r w:rsidR="00101E4B">
        <w:rPr>
          <w:bCs/>
        </w:rPr>
        <w:t xml:space="preserve">Professional curiosity </w:t>
      </w:r>
      <w:r w:rsidR="00A6722B">
        <w:rPr>
          <w:bCs/>
        </w:rPr>
        <w:t xml:space="preserve">is an important concept to be aware of where it can encourage </w:t>
      </w:r>
      <w:r w:rsidR="00D2611D">
        <w:rPr>
          <w:bCs/>
        </w:rPr>
        <w:t xml:space="preserve">practitioners to </w:t>
      </w:r>
      <w:r w:rsidR="002A7136">
        <w:rPr>
          <w:bCs/>
        </w:rPr>
        <w:t xml:space="preserve">nurture and develop critical thinking and intuitive </w:t>
      </w:r>
      <w:r w:rsidR="007C7381">
        <w:rPr>
          <w:bCs/>
        </w:rPr>
        <w:t>assessment skills</w:t>
      </w:r>
      <w:r w:rsidR="00D2611D">
        <w:rPr>
          <w:bCs/>
        </w:rPr>
        <w:t>.</w:t>
      </w:r>
      <w:r w:rsidR="00A97B00">
        <w:rPr>
          <w:bCs/>
        </w:rPr>
        <w:t xml:space="preserve"> It is a </w:t>
      </w:r>
      <w:r w:rsidR="00D353A4">
        <w:rPr>
          <w:bCs/>
        </w:rPr>
        <w:t xml:space="preserve">matter </w:t>
      </w:r>
      <w:r w:rsidR="00670DA1">
        <w:rPr>
          <w:bCs/>
        </w:rPr>
        <w:t xml:space="preserve">of </w:t>
      </w:r>
      <w:r w:rsidR="00D353A4">
        <w:rPr>
          <w:bCs/>
        </w:rPr>
        <w:t xml:space="preserve">both </w:t>
      </w:r>
      <w:r w:rsidR="00670DA1">
        <w:rPr>
          <w:bCs/>
        </w:rPr>
        <w:t xml:space="preserve">nurturing </w:t>
      </w:r>
      <w:r w:rsidR="00D66CD9">
        <w:rPr>
          <w:bCs/>
        </w:rPr>
        <w:t>a</w:t>
      </w:r>
      <w:r w:rsidR="00670DA1">
        <w:rPr>
          <w:bCs/>
        </w:rPr>
        <w:t xml:space="preserve"> strong desire</w:t>
      </w:r>
      <w:r w:rsidR="006A61C9">
        <w:rPr>
          <w:bCs/>
        </w:rPr>
        <w:t xml:space="preserve"> to find out about what is happening in an individual’s life</w:t>
      </w:r>
      <w:r w:rsidR="00D66CD9">
        <w:rPr>
          <w:bCs/>
        </w:rPr>
        <w:t xml:space="preserve"> and learn about their experiences</w:t>
      </w:r>
      <w:r w:rsidR="00D353A4">
        <w:rPr>
          <w:bCs/>
        </w:rPr>
        <w:t>, and taking action when evidence of abuse or neglect is found</w:t>
      </w:r>
      <w:r w:rsidR="00D66CD9">
        <w:rPr>
          <w:bCs/>
        </w:rPr>
        <w:t>.</w:t>
      </w:r>
      <w:r w:rsidR="00D353A4">
        <w:rPr>
          <w:bCs/>
        </w:rPr>
        <w:t xml:space="preserve"> </w:t>
      </w:r>
      <w:r w:rsidR="00D66CD9">
        <w:rPr>
          <w:bCs/>
        </w:rPr>
        <w:t xml:space="preserve"> </w:t>
      </w:r>
    </w:p>
    <w:p w14:paraId="2CF9FDA8" w14:textId="77777777" w:rsidR="0073055E" w:rsidRDefault="0073055E" w:rsidP="002E2BE2">
      <w:pPr>
        <w:rPr>
          <w:bCs/>
        </w:rPr>
      </w:pPr>
    </w:p>
    <w:p w14:paraId="77587EAF" w14:textId="0A057F79" w:rsidR="00D66CD9" w:rsidRPr="00D66CD9" w:rsidRDefault="00D66CD9" w:rsidP="002E2BE2">
      <w:pPr>
        <w:rPr>
          <w:b/>
        </w:rPr>
      </w:pPr>
      <w:r>
        <w:rPr>
          <w:b/>
        </w:rPr>
        <w:t>Findings</w:t>
      </w:r>
    </w:p>
    <w:p w14:paraId="32EC75D4" w14:textId="77777777" w:rsidR="00D66CD9" w:rsidRDefault="00D66CD9" w:rsidP="00695496">
      <w:pPr>
        <w:rPr>
          <w:bCs/>
        </w:rPr>
      </w:pPr>
    </w:p>
    <w:p w14:paraId="2D424575" w14:textId="192FAE63" w:rsidR="00792323" w:rsidRDefault="00B26C29" w:rsidP="00CF4C5E">
      <w:pPr>
        <w:rPr>
          <w:bCs/>
        </w:rPr>
      </w:pPr>
      <w:r>
        <w:rPr>
          <w:bCs/>
        </w:rPr>
        <w:t xml:space="preserve">Leading up to </w:t>
      </w:r>
      <w:r w:rsidR="00563C51">
        <w:rPr>
          <w:bCs/>
        </w:rPr>
        <w:t>Francis’</w:t>
      </w:r>
      <w:r>
        <w:rPr>
          <w:bCs/>
        </w:rPr>
        <w:t xml:space="preserve"> final admission to hospital and death professionals were presented </w:t>
      </w:r>
      <w:r w:rsidR="00E84BE3">
        <w:rPr>
          <w:bCs/>
        </w:rPr>
        <w:t xml:space="preserve">a situation of multiple risk and safeguarding concerns in the domains of health, medical self-neglect, environmental </w:t>
      </w:r>
      <w:r w:rsidR="00457099">
        <w:rPr>
          <w:bCs/>
        </w:rPr>
        <w:t>self-neglect, and of allegations of exploitation</w:t>
      </w:r>
      <w:r w:rsidR="00303080">
        <w:rPr>
          <w:bCs/>
        </w:rPr>
        <w:t xml:space="preserve">. Allegations of exploitation included the </w:t>
      </w:r>
      <w:r w:rsidR="00BF4334">
        <w:rPr>
          <w:bCs/>
        </w:rPr>
        <w:t xml:space="preserve">theft of </w:t>
      </w:r>
      <w:r w:rsidR="00563C51">
        <w:rPr>
          <w:bCs/>
        </w:rPr>
        <w:t>Francis’</w:t>
      </w:r>
      <w:r w:rsidR="0061631A">
        <w:rPr>
          <w:bCs/>
        </w:rPr>
        <w:t xml:space="preserve"> medication, about which he was reluctant to share further</w:t>
      </w:r>
      <w:r w:rsidR="005C420C">
        <w:rPr>
          <w:bCs/>
        </w:rPr>
        <w:t xml:space="preserve"> information. </w:t>
      </w:r>
      <w:r w:rsidR="0043162A">
        <w:rPr>
          <w:bCs/>
        </w:rPr>
        <w:t xml:space="preserve">Professionals perceived that the </w:t>
      </w:r>
      <w:r w:rsidR="00303080">
        <w:rPr>
          <w:bCs/>
        </w:rPr>
        <w:t>greate</w:t>
      </w:r>
      <w:r w:rsidR="0043162A">
        <w:rPr>
          <w:bCs/>
        </w:rPr>
        <w:t>st</w:t>
      </w:r>
      <w:r w:rsidR="00303080">
        <w:rPr>
          <w:bCs/>
        </w:rPr>
        <w:t xml:space="preserve"> risk </w:t>
      </w:r>
      <w:r w:rsidR="005C420C">
        <w:rPr>
          <w:bCs/>
        </w:rPr>
        <w:t xml:space="preserve">at that time was </w:t>
      </w:r>
      <w:r w:rsidR="00303080">
        <w:rPr>
          <w:bCs/>
        </w:rPr>
        <w:t>to his health and wellbeing</w:t>
      </w:r>
      <w:r w:rsidR="00B91217">
        <w:rPr>
          <w:bCs/>
        </w:rPr>
        <w:t xml:space="preserve"> as a result of his non-compliance with medication and</w:t>
      </w:r>
      <w:r w:rsidR="002F445B">
        <w:rPr>
          <w:bCs/>
        </w:rPr>
        <w:t xml:space="preserve"> poor</w:t>
      </w:r>
      <w:r w:rsidR="00165209">
        <w:rPr>
          <w:bCs/>
        </w:rPr>
        <w:t xml:space="preserve"> </w:t>
      </w:r>
      <w:r w:rsidR="00B91217">
        <w:rPr>
          <w:bCs/>
        </w:rPr>
        <w:t>self-</w:t>
      </w:r>
      <w:r w:rsidR="002F445B">
        <w:rPr>
          <w:bCs/>
        </w:rPr>
        <w:t>care of his health conditions</w:t>
      </w:r>
      <w:r w:rsidR="00457099">
        <w:rPr>
          <w:bCs/>
        </w:rPr>
        <w:t>.</w:t>
      </w:r>
      <w:r w:rsidR="00BF4334">
        <w:rPr>
          <w:bCs/>
        </w:rPr>
        <w:t xml:space="preserve"> </w:t>
      </w:r>
      <w:r w:rsidR="00165209">
        <w:rPr>
          <w:bCs/>
        </w:rPr>
        <w:t>T</w:t>
      </w:r>
      <w:r w:rsidR="00B830EF">
        <w:rPr>
          <w:bCs/>
        </w:rPr>
        <w:t>he allegations of exploitation were not addressed any further, apart from noting the theft of medication as a risk factor for non-compliance.</w:t>
      </w:r>
      <w:r w:rsidR="004D2CD8">
        <w:rPr>
          <w:bCs/>
        </w:rPr>
        <w:t xml:space="preserve"> In prioritising the most pressing issue </w:t>
      </w:r>
      <w:r w:rsidR="00246F75">
        <w:rPr>
          <w:bCs/>
        </w:rPr>
        <w:t>– p</w:t>
      </w:r>
      <w:r w:rsidR="00003B84">
        <w:rPr>
          <w:bCs/>
        </w:rPr>
        <w:t>oor medication and treatment concordance</w:t>
      </w:r>
      <w:r w:rsidR="00CF6F22">
        <w:rPr>
          <w:bCs/>
        </w:rPr>
        <w:t xml:space="preserve">, </w:t>
      </w:r>
      <w:r w:rsidR="005C776F">
        <w:rPr>
          <w:bCs/>
        </w:rPr>
        <w:t>seizures</w:t>
      </w:r>
      <w:r w:rsidR="00003B84">
        <w:rPr>
          <w:bCs/>
        </w:rPr>
        <w:t>,</w:t>
      </w:r>
      <w:r w:rsidR="005C776F">
        <w:rPr>
          <w:bCs/>
        </w:rPr>
        <w:t xml:space="preserve"> and frequent collapses in the street</w:t>
      </w:r>
      <w:r w:rsidR="00003B84">
        <w:rPr>
          <w:bCs/>
        </w:rPr>
        <w:t>,</w:t>
      </w:r>
      <w:r w:rsidR="00CF6F22">
        <w:rPr>
          <w:bCs/>
        </w:rPr>
        <w:t xml:space="preserve"> </w:t>
      </w:r>
      <w:r w:rsidR="00246F75">
        <w:rPr>
          <w:bCs/>
        </w:rPr>
        <w:t>professionals</w:t>
      </w:r>
      <w:r w:rsidR="00A71DDE">
        <w:rPr>
          <w:bCs/>
        </w:rPr>
        <w:t xml:space="preserve"> appeared to have adopted a crisis mentality</w:t>
      </w:r>
      <w:r w:rsidR="00D53648">
        <w:rPr>
          <w:bCs/>
        </w:rPr>
        <w:t xml:space="preserve">; </w:t>
      </w:r>
      <w:r w:rsidR="009A10D6">
        <w:rPr>
          <w:bCs/>
        </w:rPr>
        <w:t xml:space="preserve">planning to intervene through a package of care to support with </w:t>
      </w:r>
      <w:r w:rsidR="00C86A7C">
        <w:rPr>
          <w:bCs/>
        </w:rPr>
        <w:t>medication compliance and nutrition, and work</w:t>
      </w:r>
      <w:r w:rsidR="00792323">
        <w:rPr>
          <w:bCs/>
        </w:rPr>
        <w:t>s</w:t>
      </w:r>
      <w:r w:rsidR="00C86A7C">
        <w:rPr>
          <w:bCs/>
        </w:rPr>
        <w:t xml:space="preserve"> on his property to make it more secure.</w:t>
      </w:r>
      <w:r w:rsidR="00D73A5E">
        <w:rPr>
          <w:bCs/>
        </w:rPr>
        <w:t xml:space="preserve"> </w:t>
      </w:r>
    </w:p>
    <w:p w14:paraId="66AA577A" w14:textId="77777777" w:rsidR="00792323" w:rsidRDefault="00792323" w:rsidP="00CF4C5E">
      <w:pPr>
        <w:rPr>
          <w:bCs/>
        </w:rPr>
      </w:pPr>
    </w:p>
    <w:p w14:paraId="6BC6D913" w14:textId="57E3478A" w:rsidR="00CF4C5E" w:rsidRDefault="00C45A2C" w:rsidP="00CF4C5E">
      <w:pPr>
        <w:rPr>
          <w:bCs/>
        </w:rPr>
      </w:pPr>
      <w:r>
        <w:rPr>
          <w:bCs/>
        </w:rPr>
        <w:t xml:space="preserve">This </w:t>
      </w:r>
      <w:r w:rsidR="00E50660">
        <w:rPr>
          <w:bCs/>
        </w:rPr>
        <w:t xml:space="preserve">could be </w:t>
      </w:r>
      <w:r>
        <w:rPr>
          <w:bCs/>
        </w:rPr>
        <w:t xml:space="preserve">addressed by </w:t>
      </w:r>
      <w:r w:rsidR="00497965">
        <w:rPr>
          <w:bCs/>
        </w:rPr>
        <w:t xml:space="preserve">finding 1, </w:t>
      </w:r>
      <w:r w:rsidR="00542D76" w:rsidRPr="00542D76">
        <w:rPr>
          <w:b/>
        </w:rPr>
        <w:t>‘</w:t>
      </w:r>
      <w:r w:rsidR="00497965" w:rsidRPr="00542D76">
        <w:rPr>
          <w:b/>
        </w:rPr>
        <w:t>Self-neglect:</w:t>
      </w:r>
      <w:r w:rsidR="00542D76" w:rsidRPr="00542D76">
        <w:rPr>
          <w:b/>
        </w:rPr>
        <w:t xml:space="preserve"> exploring the underlying causes’</w:t>
      </w:r>
      <w:r w:rsidR="00542D76">
        <w:rPr>
          <w:bCs/>
        </w:rPr>
        <w:t xml:space="preserve"> which includes the discussion on </w:t>
      </w:r>
      <w:r w:rsidR="00B11EF3">
        <w:rPr>
          <w:bCs/>
        </w:rPr>
        <w:t>prioritising presenting needs over exploration of underlying causes.</w:t>
      </w:r>
    </w:p>
    <w:p w14:paraId="2EB3A179" w14:textId="77777777" w:rsidR="00B10AF4" w:rsidRDefault="00B10AF4" w:rsidP="00CF4C5E">
      <w:pPr>
        <w:rPr>
          <w:bCs/>
        </w:rPr>
      </w:pPr>
    </w:p>
    <w:p w14:paraId="135D82F0" w14:textId="77777777" w:rsidR="003260F6" w:rsidRDefault="003260F6" w:rsidP="007C2922">
      <w:pPr>
        <w:spacing w:after="160" w:line="259" w:lineRule="auto"/>
        <w:rPr>
          <w:bCs/>
        </w:rPr>
        <w:sectPr w:rsidR="003260F6" w:rsidSect="00101893">
          <w:pgSz w:w="11906" w:h="16838"/>
          <w:pgMar w:top="0" w:right="991" w:bottom="1440" w:left="1440" w:header="708" w:footer="708" w:gutter="0"/>
          <w:cols w:space="708"/>
          <w:docGrid w:linePitch="360"/>
        </w:sectPr>
      </w:pPr>
    </w:p>
    <w:p w14:paraId="5C333EA6" w14:textId="1D90CCE0" w:rsidR="00BD1D2C" w:rsidRDefault="00BD1D2C" w:rsidP="00BD1D2C">
      <w:pPr>
        <w:pStyle w:val="Heading1"/>
      </w:pPr>
      <w:bookmarkStart w:id="35" w:name="_Toc165109332"/>
      <w:r>
        <w:t xml:space="preserve">Summary of </w:t>
      </w:r>
      <w:r w:rsidR="00E331A6">
        <w:t>Findings</w:t>
      </w:r>
      <w:r w:rsidR="0058155A">
        <w:t xml:space="preserve"> and Questions for the Board</w:t>
      </w:r>
      <w:bookmarkEnd w:id="35"/>
    </w:p>
    <w:p w14:paraId="243CC779" w14:textId="77777777" w:rsidR="00134BBE" w:rsidRDefault="00134BBE"/>
    <w:tbl>
      <w:tblPr>
        <w:tblStyle w:val="TableGrid"/>
        <w:tblW w:w="14034" w:type="dxa"/>
        <w:tblInd w:w="-147" w:type="dxa"/>
        <w:tblLook w:val="04A0" w:firstRow="1" w:lastRow="0" w:firstColumn="1" w:lastColumn="0" w:noHBand="0" w:noVBand="1"/>
      </w:tblPr>
      <w:tblGrid>
        <w:gridCol w:w="787"/>
        <w:gridCol w:w="3118"/>
        <w:gridCol w:w="7010"/>
        <w:gridCol w:w="3119"/>
      </w:tblGrid>
      <w:tr w:rsidR="004F5AAA" w:rsidRPr="007C04DB" w14:paraId="56A7B6EA" w14:textId="77777777" w:rsidTr="001166DA">
        <w:trPr>
          <w:trHeight w:val="624"/>
          <w:tblHeader/>
        </w:trPr>
        <w:tc>
          <w:tcPr>
            <w:tcW w:w="787" w:type="dxa"/>
            <w:shd w:val="clear" w:color="auto" w:fill="B4C6E7" w:themeFill="accent5" w:themeFillTint="66"/>
            <w:vAlign w:val="center"/>
          </w:tcPr>
          <w:p w14:paraId="11AA3F1A" w14:textId="52017CB5" w:rsidR="004F5AAA" w:rsidRPr="007C04DB" w:rsidRDefault="004F5AAA" w:rsidP="008251FD">
            <w:pPr>
              <w:spacing w:line="259" w:lineRule="auto"/>
              <w:rPr>
                <w:rFonts w:cs="Arial"/>
                <w:b/>
                <w:bCs/>
                <w:sz w:val="20"/>
                <w:szCs w:val="20"/>
              </w:rPr>
            </w:pPr>
            <w:r w:rsidRPr="007C04DB">
              <w:rPr>
                <w:rFonts w:cs="Arial"/>
                <w:b/>
                <w:bCs/>
                <w:sz w:val="20"/>
                <w:szCs w:val="20"/>
              </w:rPr>
              <w:t>No.</w:t>
            </w:r>
          </w:p>
        </w:tc>
        <w:tc>
          <w:tcPr>
            <w:tcW w:w="3118" w:type="dxa"/>
            <w:shd w:val="clear" w:color="auto" w:fill="B4C6E7" w:themeFill="accent5" w:themeFillTint="66"/>
            <w:vAlign w:val="center"/>
          </w:tcPr>
          <w:p w14:paraId="4B437075" w14:textId="77777777" w:rsidR="004F5AAA" w:rsidRPr="007C04DB" w:rsidRDefault="004F5AAA" w:rsidP="008251FD">
            <w:pPr>
              <w:spacing w:line="259" w:lineRule="auto"/>
              <w:rPr>
                <w:rFonts w:cs="Arial"/>
                <w:b/>
                <w:bCs/>
                <w:sz w:val="20"/>
                <w:szCs w:val="20"/>
              </w:rPr>
            </w:pPr>
            <w:r w:rsidRPr="007C04DB">
              <w:rPr>
                <w:rFonts w:cs="Arial"/>
                <w:b/>
                <w:bCs/>
                <w:sz w:val="20"/>
                <w:szCs w:val="20"/>
              </w:rPr>
              <w:t>Finding</w:t>
            </w:r>
          </w:p>
        </w:tc>
        <w:tc>
          <w:tcPr>
            <w:tcW w:w="7010" w:type="dxa"/>
            <w:shd w:val="clear" w:color="auto" w:fill="B4C6E7" w:themeFill="accent5" w:themeFillTint="66"/>
            <w:vAlign w:val="center"/>
          </w:tcPr>
          <w:p w14:paraId="753E1231" w14:textId="349D5A52" w:rsidR="004F5AAA" w:rsidRPr="007C04DB" w:rsidRDefault="004F5AAA" w:rsidP="008251FD">
            <w:pPr>
              <w:spacing w:line="259" w:lineRule="auto"/>
              <w:rPr>
                <w:rFonts w:cs="Arial"/>
                <w:b/>
                <w:bCs/>
                <w:sz w:val="20"/>
                <w:szCs w:val="20"/>
              </w:rPr>
            </w:pPr>
            <w:r w:rsidRPr="007C04DB">
              <w:rPr>
                <w:rFonts w:cs="Arial"/>
                <w:b/>
                <w:bCs/>
                <w:sz w:val="20"/>
                <w:szCs w:val="20"/>
              </w:rPr>
              <w:t>Questions for the Safeguarding Adults Board</w:t>
            </w:r>
          </w:p>
        </w:tc>
        <w:tc>
          <w:tcPr>
            <w:tcW w:w="3119" w:type="dxa"/>
            <w:shd w:val="clear" w:color="auto" w:fill="B4C6E7" w:themeFill="accent5" w:themeFillTint="66"/>
            <w:vAlign w:val="center"/>
          </w:tcPr>
          <w:p w14:paraId="42371830" w14:textId="309E3393" w:rsidR="004F5AAA" w:rsidRPr="007C04DB" w:rsidRDefault="004F5AAA" w:rsidP="008251FD">
            <w:pPr>
              <w:spacing w:line="259" w:lineRule="auto"/>
              <w:rPr>
                <w:rFonts w:cs="Arial"/>
                <w:b/>
                <w:bCs/>
                <w:sz w:val="20"/>
                <w:szCs w:val="20"/>
              </w:rPr>
            </w:pPr>
            <w:r w:rsidRPr="007C04DB">
              <w:rPr>
                <w:rFonts w:cs="Arial"/>
                <w:b/>
                <w:bCs/>
                <w:sz w:val="20"/>
                <w:szCs w:val="20"/>
              </w:rPr>
              <w:t>Impact and</w:t>
            </w:r>
            <w:r w:rsidR="008251FD" w:rsidRPr="007C04DB">
              <w:rPr>
                <w:rFonts w:cs="Arial"/>
                <w:b/>
                <w:bCs/>
                <w:sz w:val="20"/>
                <w:szCs w:val="20"/>
              </w:rPr>
              <w:t xml:space="preserve"> suggested </w:t>
            </w:r>
            <w:r w:rsidRPr="007C04DB">
              <w:rPr>
                <w:rFonts w:cs="Arial"/>
                <w:b/>
                <w:bCs/>
                <w:sz w:val="20"/>
                <w:szCs w:val="20"/>
              </w:rPr>
              <w:t>measurement</w:t>
            </w:r>
          </w:p>
        </w:tc>
      </w:tr>
      <w:tr w:rsidR="00D86CC5" w:rsidRPr="007C04DB" w14:paraId="5C5BA6EB" w14:textId="77777777" w:rsidTr="001166DA">
        <w:trPr>
          <w:trHeight w:val="624"/>
        </w:trPr>
        <w:tc>
          <w:tcPr>
            <w:tcW w:w="787" w:type="dxa"/>
            <w:vMerge w:val="restart"/>
          </w:tcPr>
          <w:p w14:paraId="7B2101CD" w14:textId="77777777" w:rsidR="00D86CC5" w:rsidRPr="007C04DB" w:rsidRDefault="00D86CC5" w:rsidP="00345E09">
            <w:pPr>
              <w:numPr>
                <w:ilvl w:val="0"/>
                <w:numId w:val="13"/>
              </w:numPr>
              <w:spacing w:line="259" w:lineRule="auto"/>
              <w:ind w:left="31" w:right="178" w:firstLine="0"/>
              <w:rPr>
                <w:rFonts w:cs="Arial"/>
                <w:bCs/>
                <w:sz w:val="20"/>
                <w:szCs w:val="20"/>
              </w:rPr>
            </w:pPr>
          </w:p>
        </w:tc>
        <w:tc>
          <w:tcPr>
            <w:tcW w:w="3118" w:type="dxa"/>
            <w:vMerge w:val="restart"/>
          </w:tcPr>
          <w:p w14:paraId="3C4F0AA9" w14:textId="68CF502C" w:rsidR="00D86CC5" w:rsidRPr="007C04DB" w:rsidRDefault="00D86CC5" w:rsidP="00345E09">
            <w:pPr>
              <w:spacing w:line="259" w:lineRule="auto"/>
              <w:rPr>
                <w:rFonts w:cs="Arial"/>
                <w:bCs/>
                <w:sz w:val="20"/>
                <w:szCs w:val="20"/>
              </w:rPr>
            </w:pPr>
            <w:r w:rsidRPr="007C04DB">
              <w:rPr>
                <w:rFonts w:cs="Arial"/>
                <w:bCs/>
                <w:sz w:val="20"/>
                <w:szCs w:val="20"/>
              </w:rPr>
              <w:t>Self-neglect: exploring underlying causes</w:t>
            </w:r>
          </w:p>
        </w:tc>
        <w:tc>
          <w:tcPr>
            <w:tcW w:w="7010" w:type="dxa"/>
          </w:tcPr>
          <w:p w14:paraId="4D917CC7" w14:textId="1EEC139A" w:rsidR="00D86CC5" w:rsidRPr="007C04DB" w:rsidRDefault="00D86CC5" w:rsidP="003970EA">
            <w:pPr>
              <w:spacing w:line="259" w:lineRule="auto"/>
              <w:rPr>
                <w:rFonts w:cs="Arial"/>
                <w:bCs/>
                <w:sz w:val="20"/>
                <w:szCs w:val="20"/>
              </w:rPr>
            </w:pPr>
            <w:proofErr w:type="spellStart"/>
            <w:r w:rsidRPr="007C04DB">
              <w:rPr>
                <w:rFonts w:cs="Arial"/>
                <w:bCs/>
                <w:sz w:val="20"/>
                <w:szCs w:val="20"/>
              </w:rPr>
              <w:t>Q1</w:t>
            </w:r>
            <w:proofErr w:type="spellEnd"/>
            <w:r w:rsidRPr="007C04DB">
              <w:rPr>
                <w:rFonts w:cs="Arial"/>
                <w:bCs/>
                <w:sz w:val="20"/>
                <w:szCs w:val="20"/>
              </w:rPr>
              <w:t xml:space="preserve">: How can the Safeguarding Adults Board raise awareness and use of the self-neglect guidance? </w:t>
            </w:r>
          </w:p>
        </w:tc>
        <w:tc>
          <w:tcPr>
            <w:tcW w:w="3119" w:type="dxa"/>
            <w:vMerge w:val="restart"/>
          </w:tcPr>
          <w:p w14:paraId="26489821" w14:textId="1F7B95A1" w:rsidR="00D86CC5" w:rsidRPr="007C04DB" w:rsidRDefault="008B145F" w:rsidP="00D86CC5">
            <w:pPr>
              <w:pStyle w:val="ListParagraph"/>
              <w:numPr>
                <w:ilvl w:val="0"/>
                <w:numId w:val="30"/>
              </w:numPr>
              <w:spacing w:line="259" w:lineRule="auto"/>
              <w:ind w:left="172" w:hanging="172"/>
              <w:rPr>
                <w:bCs/>
                <w:sz w:val="20"/>
                <w:szCs w:val="20"/>
                <w:lang w:val="en-GB"/>
              </w:rPr>
            </w:pPr>
            <w:r w:rsidRPr="007C04DB">
              <w:rPr>
                <w:bCs/>
                <w:sz w:val="20"/>
                <w:szCs w:val="20"/>
                <w:lang w:val="en-GB"/>
              </w:rPr>
              <w:t>Practitioner survey</w:t>
            </w:r>
          </w:p>
          <w:p w14:paraId="2461F0B2" w14:textId="5888172F" w:rsidR="00D86CC5" w:rsidRPr="007C04DB" w:rsidRDefault="008B145F" w:rsidP="00D86CC5">
            <w:pPr>
              <w:pStyle w:val="ListParagraph"/>
              <w:numPr>
                <w:ilvl w:val="0"/>
                <w:numId w:val="30"/>
              </w:numPr>
              <w:spacing w:line="259" w:lineRule="auto"/>
              <w:ind w:left="172" w:hanging="172"/>
              <w:rPr>
                <w:bCs/>
                <w:sz w:val="20"/>
                <w:szCs w:val="20"/>
                <w:lang w:val="en-GB"/>
              </w:rPr>
            </w:pPr>
            <w:r w:rsidRPr="007C04DB">
              <w:rPr>
                <w:bCs/>
                <w:sz w:val="20"/>
                <w:szCs w:val="20"/>
                <w:lang w:val="en-GB"/>
              </w:rPr>
              <w:t xml:space="preserve">Guidance </w:t>
            </w:r>
            <w:r w:rsidR="00FB0CA1" w:rsidRPr="007C04DB">
              <w:rPr>
                <w:bCs/>
                <w:sz w:val="20"/>
                <w:szCs w:val="20"/>
                <w:lang w:val="en-GB"/>
              </w:rPr>
              <w:t xml:space="preserve">Case </w:t>
            </w:r>
            <w:r w:rsidRPr="007C04DB">
              <w:rPr>
                <w:bCs/>
                <w:sz w:val="20"/>
                <w:szCs w:val="20"/>
                <w:lang w:val="en-GB"/>
              </w:rPr>
              <w:t>audit</w:t>
            </w:r>
          </w:p>
        </w:tc>
      </w:tr>
      <w:tr w:rsidR="00D86CC5" w:rsidRPr="007C04DB" w14:paraId="5B1483D9" w14:textId="77777777" w:rsidTr="001166DA">
        <w:trPr>
          <w:trHeight w:val="624"/>
        </w:trPr>
        <w:tc>
          <w:tcPr>
            <w:tcW w:w="787" w:type="dxa"/>
            <w:vMerge/>
          </w:tcPr>
          <w:p w14:paraId="28CD84EA" w14:textId="77777777" w:rsidR="00D86CC5" w:rsidRPr="007C04DB" w:rsidRDefault="00D86CC5" w:rsidP="00345E09">
            <w:pPr>
              <w:numPr>
                <w:ilvl w:val="0"/>
                <w:numId w:val="13"/>
              </w:numPr>
              <w:spacing w:line="259" w:lineRule="auto"/>
              <w:ind w:left="31" w:right="178" w:firstLine="0"/>
              <w:rPr>
                <w:rFonts w:cs="Arial"/>
                <w:bCs/>
                <w:sz w:val="20"/>
                <w:szCs w:val="20"/>
              </w:rPr>
            </w:pPr>
          </w:p>
        </w:tc>
        <w:tc>
          <w:tcPr>
            <w:tcW w:w="3118" w:type="dxa"/>
            <w:vMerge/>
          </w:tcPr>
          <w:p w14:paraId="6F70C96A" w14:textId="77777777" w:rsidR="00D86CC5" w:rsidRPr="007C04DB" w:rsidRDefault="00D86CC5" w:rsidP="00345E09">
            <w:pPr>
              <w:spacing w:line="259" w:lineRule="auto"/>
              <w:rPr>
                <w:rFonts w:cs="Arial"/>
                <w:bCs/>
                <w:sz w:val="20"/>
                <w:szCs w:val="20"/>
              </w:rPr>
            </w:pPr>
          </w:p>
        </w:tc>
        <w:tc>
          <w:tcPr>
            <w:tcW w:w="7010" w:type="dxa"/>
          </w:tcPr>
          <w:p w14:paraId="390EEEBB" w14:textId="77777777" w:rsidR="00D86CC5" w:rsidRPr="007C04DB" w:rsidRDefault="00D86CC5" w:rsidP="00345E09">
            <w:pPr>
              <w:spacing w:line="259" w:lineRule="auto"/>
              <w:rPr>
                <w:rFonts w:cs="Arial"/>
                <w:bCs/>
                <w:sz w:val="20"/>
                <w:szCs w:val="20"/>
              </w:rPr>
            </w:pPr>
            <w:proofErr w:type="spellStart"/>
            <w:r w:rsidRPr="007C04DB">
              <w:rPr>
                <w:rFonts w:cs="Arial"/>
                <w:bCs/>
                <w:sz w:val="20"/>
                <w:szCs w:val="20"/>
              </w:rPr>
              <w:t>Q2</w:t>
            </w:r>
            <w:proofErr w:type="spellEnd"/>
            <w:r w:rsidRPr="007C04DB">
              <w:rPr>
                <w:rFonts w:cs="Arial"/>
                <w:bCs/>
                <w:sz w:val="20"/>
                <w:szCs w:val="20"/>
              </w:rPr>
              <w:t>: How can the system support practitioners to explore the underlying reasons behind an individual’s disengagement from services and self-neglect behaviours?</w:t>
            </w:r>
          </w:p>
          <w:p w14:paraId="54EBE17D" w14:textId="1DD9AA0B" w:rsidR="001166DA" w:rsidRPr="007C04DB" w:rsidRDefault="001166DA" w:rsidP="00345E09">
            <w:pPr>
              <w:spacing w:line="259" w:lineRule="auto"/>
              <w:rPr>
                <w:rFonts w:cs="Arial"/>
                <w:bCs/>
                <w:sz w:val="20"/>
                <w:szCs w:val="20"/>
              </w:rPr>
            </w:pPr>
          </w:p>
        </w:tc>
        <w:tc>
          <w:tcPr>
            <w:tcW w:w="3119" w:type="dxa"/>
            <w:vMerge/>
          </w:tcPr>
          <w:p w14:paraId="78366D85" w14:textId="77777777" w:rsidR="00D86CC5" w:rsidRPr="007C04DB" w:rsidRDefault="00D86CC5" w:rsidP="00345E09">
            <w:pPr>
              <w:spacing w:line="259" w:lineRule="auto"/>
              <w:rPr>
                <w:rFonts w:cs="Arial"/>
                <w:bCs/>
                <w:sz w:val="20"/>
                <w:szCs w:val="20"/>
              </w:rPr>
            </w:pPr>
          </w:p>
        </w:tc>
      </w:tr>
      <w:tr w:rsidR="00197287" w:rsidRPr="007C04DB" w14:paraId="70AFE890" w14:textId="77777777" w:rsidTr="001166DA">
        <w:trPr>
          <w:trHeight w:val="624"/>
        </w:trPr>
        <w:tc>
          <w:tcPr>
            <w:tcW w:w="787" w:type="dxa"/>
            <w:vMerge w:val="restart"/>
          </w:tcPr>
          <w:p w14:paraId="1939489C" w14:textId="77777777" w:rsidR="00197287" w:rsidRPr="007C04DB" w:rsidRDefault="00197287" w:rsidP="00345E09">
            <w:pPr>
              <w:numPr>
                <w:ilvl w:val="0"/>
                <w:numId w:val="13"/>
              </w:numPr>
              <w:spacing w:line="259" w:lineRule="auto"/>
              <w:ind w:left="31" w:right="178" w:firstLine="0"/>
              <w:rPr>
                <w:rFonts w:cs="Arial"/>
                <w:bCs/>
                <w:sz w:val="20"/>
                <w:szCs w:val="20"/>
              </w:rPr>
            </w:pPr>
          </w:p>
        </w:tc>
        <w:tc>
          <w:tcPr>
            <w:tcW w:w="3118" w:type="dxa"/>
            <w:vMerge w:val="restart"/>
          </w:tcPr>
          <w:p w14:paraId="45A33C86" w14:textId="5EC1A3A3" w:rsidR="00197287" w:rsidRPr="007C04DB" w:rsidRDefault="00197287" w:rsidP="00345E09">
            <w:pPr>
              <w:spacing w:line="259" w:lineRule="auto"/>
              <w:rPr>
                <w:rFonts w:cs="Arial"/>
                <w:bCs/>
                <w:sz w:val="20"/>
                <w:szCs w:val="20"/>
              </w:rPr>
            </w:pPr>
            <w:r w:rsidRPr="007C04DB">
              <w:rPr>
                <w:rFonts w:cs="Arial"/>
                <w:sz w:val="20"/>
                <w:szCs w:val="20"/>
              </w:rPr>
              <w:t>Alcohol Assertive Outreach Approach</w:t>
            </w:r>
            <w:r w:rsidR="000375ED">
              <w:rPr>
                <w:rFonts w:cs="Arial"/>
                <w:sz w:val="20"/>
                <w:szCs w:val="20"/>
              </w:rPr>
              <w:t>es</w:t>
            </w:r>
          </w:p>
        </w:tc>
        <w:tc>
          <w:tcPr>
            <w:tcW w:w="7010" w:type="dxa"/>
          </w:tcPr>
          <w:p w14:paraId="2255AED5" w14:textId="0CD34C91" w:rsidR="00197287" w:rsidRPr="007C04DB" w:rsidRDefault="00197287" w:rsidP="00F70894">
            <w:pPr>
              <w:spacing w:line="259" w:lineRule="auto"/>
              <w:rPr>
                <w:rFonts w:cs="Arial"/>
                <w:sz w:val="20"/>
                <w:szCs w:val="20"/>
              </w:rPr>
            </w:pPr>
            <w:proofErr w:type="spellStart"/>
            <w:r w:rsidRPr="10BD5DD1">
              <w:rPr>
                <w:rFonts w:cs="Arial"/>
                <w:sz w:val="20"/>
                <w:szCs w:val="20"/>
              </w:rPr>
              <w:t>Q</w:t>
            </w:r>
            <w:r w:rsidR="6BDCF60D" w:rsidRPr="10BD5DD1">
              <w:rPr>
                <w:rFonts w:cs="Arial"/>
                <w:sz w:val="20"/>
                <w:szCs w:val="20"/>
              </w:rPr>
              <w:t>3</w:t>
            </w:r>
            <w:proofErr w:type="spellEnd"/>
            <w:r w:rsidRPr="10BD5DD1">
              <w:rPr>
                <w:rFonts w:cs="Arial"/>
                <w:sz w:val="20"/>
                <w:szCs w:val="20"/>
              </w:rPr>
              <w:t xml:space="preserve">: Does the referral process for the </w:t>
            </w:r>
            <w:r w:rsidR="000375ED" w:rsidRPr="10BD5DD1">
              <w:rPr>
                <w:rFonts w:cs="Arial"/>
                <w:sz w:val="20"/>
                <w:szCs w:val="20"/>
              </w:rPr>
              <w:t xml:space="preserve">Achieve </w:t>
            </w:r>
            <w:r w:rsidRPr="10BD5DD1">
              <w:rPr>
                <w:rFonts w:cs="Arial"/>
                <w:sz w:val="20"/>
                <w:szCs w:val="20"/>
              </w:rPr>
              <w:t>Assertive Outreach Team reach all agencies and service users who need to be referred?</w:t>
            </w:r>
          </w:p>
        </w:tc>
        <w:tc>
          <w:tcPr>
            <w:tcW w:w="3119" w:type="dxa"/>
            <w:vMerge w:val="restart"/>
          </w:tcPr>
          <w:p w14:paraId="252AA95C" w14:textId="76A9C6F9" w:rsidR="00197287" w:rsidRPr="007C04DB" w:rsidRDefault="00197287" w:rsidP="00F60B5F">
            <w:pPr>
              <w:pStyle w:val="ListParagraph"/>
              <w:numPr>
                <w:ilvl w:val="0"/>
                <w:numId w:val="31"/>
              </w:numPr>
              <w:spacing w:line="259" w:lineRule="auto"/>
              <w:ind w:left="172" w:hanging="172"/>
              <w:rPr>
                <w:bCs/>
                <w:sz w:val="20"/>
                <w:szCs w:val="20"/>
                <w:lang w:val="en-GB"/>
              </w:rPr>
            </w:pPr>
            <w:proofErr w:type="spellStart"/>
            <w:r w:rsidRPr="007C04DB">
              <w:rPr>
                <w:bCs/>
                <w:sz w:val="20"/>
                <w:szCs w:val="20"/>
                <w:lang w:val="en-GB"/>
              </w:rPr>
              <w:t>AAOT</w:t>
            </w:r>
            <w:proofErr w:type="spellEnd"/>
            <w:r w:rsidRPr="007C04DB">
              <w:rPr>
                <w:bCs/>
                <w:sz w:val="20"/>
                <w:szCs w:val="20"/>
                <w:lang w:val="en-GB"/>
              </w:rPr>
              <w:t xml:space="preserve"> Referral audit</w:t>
            </w:r>
          </w:p>
        </w:tc>
      </w:tr>
      <w:tr w:rsidR="00197287" w:rsidRPr="007C04DB" w14:paraId="5E172C3B" w14:textId="77777777" w:rsidTr="001166DA">
        <w:trPr>
          <w:trHeight w:val="624"/>
        </w:trPr>
        <w:tc>
          <w:tcPr>
            <w:tcW w:w="787" w:type="dxa"/>
            <w:vMerge/>
          </w:tcPr>
          <w:p w14:paraId="45855277" w14:textId="77777777" w:rsidR="00197287" w:rsidRPr="007C04DB" w:rsidRDefault="00197287" w:rsidP="00345E09">
            <w:pPr>
              <w:numPr>
                <w:ilvl w:val="0"/>
                <w:numId w:val="13"/>
              </w:numPr>
              <w:spacing w:line="259" w:lineRule="auto"/>
              <w:ind w:left="31" w:right="178" w:firstLine="0"/>
              <w:rPr>
                <w:rFonts w:cs="Arial"/>
                <w:bCs/>
                <w:sz w:val="20"/>
                <w:szCs w:val="20"/>
              </w:rPr>
            </w:pPr>
          </w:p>
        </w:tc>
        <w:tc>
          <w:tcPr>
            <w:tcW w:w="3118" w:type="dxa"/>
            <w:vMerge/>
          </w:tcPr>
          <w:p w14:paraId="26B9861C" w14:textId="77777777" w:rsidR="00197287" w:rsidRPr="007C04DB" w:rsidRDefault="00197287" w:rsidP="00345E09">
            <w:pPr>
              <w:spacing w:line="259" w:lineRule="auto"/>
              <w:rPr>
                <w:rFonts w:cs="Arial"/>
                <w:sz w:val="20"/>
                <w:szCs w:val="20"/>
              </w:rPr>
            </w:pPr>
          </w:p>
        </w:tc>
        <w:tc>
          <w:tcPr>
            <w:tcW w:w="7010" w:type="dxa"/>
          </w:tcPr>
          <w:p w14:paraId="365AA2B6" w14:textId="51EFED03" w:rsidR="00197287" w:rsidRPr="007C04DB" w:rsidRDefault="00197287" w:rsidP="00F70894">
            <w:pPr>
              <w:spacing w:line="259" w:lineRule="auto"/>
              <w:rPr>
                <w:rFonts w:cs="Arial"/>
                <w:sz w:val="20"/>
                <w:szCs w:val="20"/>
              </w:rPr>
            </w:pPr>
            <w:proofErr w:type="spellStart"/>
            <w:r w:rsidRPr="10BD5DD1">
              <w:rPr>
                <w:rFonts w:cs="Arial"/>
                <w:sz w:val="20"/>
                <w:szCs w:val="20"/>
              </w:rPr>
              <w:t>Q</w:t>
            </w:r>
            <w:r w:rsidR="1EEF6D35" w:rsidRPr="10BD5DD1">
              <w:rPr>
                <w:rFonts w:cs="Arial"/>
                <w:sz w:val="20"/>
                <w:szCs w:val="20"/>
              </w:rPr>
              <w:t>4</w:t>
            </w:r>
            <w:proofErr w:type="spellEnd"/>
            <w:r w:rsidRPr="10BD5DD1">
              <w:rPr>
                <w:rFonts w:cs="Arial"/>
                <w:sz w:val="20"/>
                <w:szCs w:val="20"/>
              </w:rPr>
              <w:t>: How can safeguarding services and potential referral agencies become more knowledgeable about the team, its offer, and thresholds for referral?</w:t>
            </w:r>
          </w:p>
        </w:tc>
        <w:tc>
          <w:tcPr>
            <w:tcW w:w="3119" w:type="dxa"/>
            <w:vMerge/>
          </w:tcPr>
          <w:p w14:paraId="4E20DEFB" w14:textId="77777777" w:rsidR="00197287" w:rsidRPr="007C04DB" w:rsidRDefault="00197287" w:rsidP="00345E09">
            <w:pPr>
              <w:spacing w:line="259" w:lineRule="auto"/>
              <w:rPr>
                <w:rFonts w:cs="Arial"/>
                <w:bCs/>
                <w:sz w:val="20"/>
                <w:szCs w:val="20"/>
              </w:rPr>
            </w:pPr>
          </w:p>
        </w:tc>
      </w:tr>
      <w:tr w:rsidR="00197287" w:rsidRPr="007C04DB" w14:paraId="01FC54AE" w14:textId="77777777" w:rsidTr="001166DA">
        <w:trPr>
          <w:trHeight w:val="624"/>
        </w:trPr>
        <w:tc>
          <w:tcPr>
            <w:tcW w:w="787" w:type="dxa"/>
            <w:vMerge w:val="restart"/>
          </w:tcPr>
          <w:p w14:paraId="09E09CD3" w14:textId="77777777" w:rsidR="00197287" w:rsidRPr="007C04DB" w:rsidRDefault="00197287" w:rsidP="10BD5DD1">
            <w:pPr>
              <w:spacing w:line="259" w:lineRule="auto"/>
              <w:ind w:right="178"/>
              <w:rPr>
                <w:rFonts w:cs="Arial"/>
                <w:sz w:val="20"/>
                <w:szCs w:val="20"/>
              </w:rPr>
            </w:pPr>
          </w:p>
        </w:tc>
        <w:tc>
          <w:tcPr>
            <w:tcW w:w="3118" w:type="dxa"/>
            <w:vMerge w:val="restart"/>
          </w:tcPr>
          <w:p w14:paraId="08ED106A" w14:textId="57592928" w:rsidR="00197287" w:rsidRPr="007C04DB" w:rsidRDefault="00197287" w:rsidP="00345E09">
            <w:pPr>
              <w:spacing w:line="259" w:lineRule="auto"/>
              <w:rPr>
                <w:rFonts w:cs="Arial"/>
                <w:bCs/>
                <w:sz w:val="20"/>
                <w:szCs w:val="20"/>
              </w:rPr>
            </w:pPr>
            <w:r w:rsidRPr="007C04DB">
              <w:rPr>
                <w:sz w:val="20"/>
                <w:szCs w:val="20"/>
              </w:rPr>
              <w:t xml:space="preserve">Timeliness in decision-making </w:t>
            </w:r>
          </w:p>
        </w:tc>
        <w:tc>
          <w:tcPr>
            <w:tcW w:w="7010" w:type="dxa"/>
          </w:tcPr>
          <w:p w14:paraId="764629AA" w14:textId="32DA2C34" w:rsidR="00197287" w:rsidRPr="007C04DB" w:rsidRDefault="00197287" w:rsidP="00FB14DC">
            <w:pPr>
              <w:spacing w:line="259" w:lineRule="auto"/>
              <w:rPr>
                <w:rFonts w:cs="Arial"/>
                <w:sz w:val="20"/>
                <w:szCs w:val="20"/>
              </w:rPr>
            </w:pPr>
            <w:proofErr w:type="spellStart"/>
            <w:r w:rsidRPr="10BD5DD1">
              <w:rPr>
                <w:rFonts w:cs="Arial"/>
                <w:sz w:val="20"/>
                <w:szCs w:val="20"/>
              </w:rPr>
              <w:t>Q</w:t>
            </w:r>
            <w:r w:rsidR="42528395" w:rsidRPr="10BD5DD1">
              <w:rPr>
                <w:rFonts w:cs="Arial"/>
                <w:sz w:val="20"/>
                <w:szCs w:val="20"/>
              </w:rPr>
              <w:t>5</w:t>
            </w:r>
            <w:proofErr w:type="spellEnd"/>
            <w:r w:rsidRPr="10BD5DD1">
              <w:rPr>
                <w:rFonts w:cs="Arial"/>
                <w:sz w:val="20"/>
                <w:szCs w:val="20"/>
              </w:rPr>
              <w:t xml:space="preserve">: How can good quality safeguarding decisions be made without unnecessary delays in action on the part of referring agencies and multi-agency partnerships? </w:t>
            </w:r>
          </w:p>
          <w:p w14:paraId="099B6A1C" w14:textId="67E67980" w:rsidR="001166DA" w:rsidRPr="007C04DB" w:rsidRDefault="001166DA" w:rsidP="00FB14DC">
            <w:pPr>
              <w:spacing w:line="259" w:lineRule="auto"/>
              <w:rPr>
                <w:rFonts w:cs="Arial"/>
                <w:bCs/>
                <w:sz w:val="20"/>
                <w:szCs w:val="20"/>
              </w:rPr>
            </w:pPr>
          </w:p>
        </w:tc>
        <w:tc>
          <w:tcPr>
            <w:tcW w:w="3119" w:type="dxa"/>
            <w:vMerge w:val="restart"/>
          </w:tcPr>
          <w:p w14:paraId="4F476BB8" w14:textId="55AB3484" w:rsidR="00197287" w:rsidRPr="007C04DB" w:rsidRDefault="00F60B5F" w:rsidP="00F60B5F">
            <w:pPr>
              <w:pStyle w:val="ListParagraph"/>
              <w:numPr>
                <w:ilvl w:val="0"/>
                <w:numId w:val="31"/>
              </w:numPr>
              <w:spacing w:line="259" w:lineRule="auto"/>
              <w:ind w:left="172" w:hanging="172"/>
              <w:rPr>
                <w:bCs/>
                <w:sz w:val="20"/>
                <w:szCs w:val="20"/>
                <w:lang w:val="en-GB"/>
              </w:rPr>
            </w:pPr>
            <w:r w:rsidRPr="007C04DB">
              <w:rPr>
                <w:bCs/>
                <w:sz w:val="20"/>
                <w:szCs w:val="20"/>
                <w:lang w:val="en-GB"/>
              </w:rPr>
              <w:t>Safeguarding audit</w:t>
            </w:r>
          </w:p>
        </w:tc>
      </w:tr>
      <w:tr w:rsidR="00197287" w:rsidRPr="007C04DB" w14:paraId="1B3BB326" w14:textId="77777777" w:rsidTr="001166DA">
        <w:trPr>
          <w:trHeight w:val="624"/>
        </w:trPr>
        <w:tc>
          <w:tcPr>
            <w:tcW w:w="787" w:type="dxa"/>
            <w:vMerge/>
          </w:tcPr>
          <w:p w14:paraId="0724B4D0" w14:textId="77777777" w:rsidR="00197287" w:rsidRPr="007C04DB" w:rsidRDefault="00197287" w:rsidP="00345E09">
            <w:pPr>
              <w:numPr>
                <w:ilvl w:val="0"/>
                <w:numId w:val="13"/>
              </w:numPr>
              <w:spacing w:line="259" w:lineRule="auto"/>
              <w:ind w:left="31" w:right="178" w:firstLine="0"/>
              <w:rPr>
                <w:rFonts w:cs="Arial"/>
                <w:bCs/>
                <w:sz w:val="20"/>
                <w:szCs w:val="20"/>
              </w:rPr>
            </w:pPr>
          </w:p>
        </w:tc>
        <w:tc>
          <w:tcPr>
            <w:tcW w:w="3118" w:type="dxa"/>
            <w:vMerge/>
          </w:tcPr>
          <w:p w14:paraId="263951F3" w14:textId="77777777" w:rsidR="00197287" w:rsidRPr="007C04DB" w:rsidRDefault="00197287" w:rsidP="00345E09">
            <w:pPr>
              <w:spacing w:line="259" w:lineRule="auto"/>
              <w:rPr>
                <w:sz w:val="20"/>
                <w:szCs w:val="20"/>
              </w:rPr>
            </w:pPr>
          </w:p>
        </w:tc>
        <w:tc>
          <w:tcPr>
            <w:tcW w:w="7010" w:type="dxa"/>
          </w:tcPr>
          <w:p w14:paraId="3C55DE42" w14:textId="0488035A" w:rsidR="00197287" w:rsidRPr="007C04DB" w:rsidRDefault="00197287" w:rsidP="00345E09">
            <w:pPr>
              <w:spacing w:line="259" w:lineRule="auto"/>
              <w:rPr>
                <w:rFonts w:cs="Arial"/>
                <w:sz w:val="20"/>
                <w:szCs w:val="20"/>
              </w:rPr>
            </w:pPr>
            <w:proofErr w:type="spellStart"/>
            <w:r w:rsidRPr="10BD5DD1">
              <w:rPr>
                <w:rFonts w:cs="Arial"/>
                <w:sz w:val="20"/>
                <w:szCs w:val="20"/>
              </w:rPr>
              <w:t>Q</w:t>
            </w:r>
            <w:r w:rsidR="4199BC0B" w:rsidRPr="10BD5DD1">
              <w:rPr>
                <w:rFonts w:cs="Arial"/>
                <w:sz w:val="20"/>
                <w:szCs w:val="20"/>
              </w:rPr>
              <w:t>6</w:t>
            </w:r>
            <w:proofErr w:type="spellEnd"/>
            <w:r w:rsidRPr="10BD5DD1">
              <w:rPr>
                <w:rFonts w:cs="Arial"/>
                <w:sz w:val="20"/>
                <w:szCs w:val="20"/>
              </w:rPr>
              <w:t xml:space="preserve">: When more information is needed to determine if the statutory criteria for </w:t>
            </w:r>
            <w:proofErr w:type="spellStart"/>
            <w:r w:rsidRPr="10BD5DD1">
              <w:rPr>
                <w:rFonts w:cs="Arial"/>
                <w:sz w:val="20"/>
                <w:szCs w:val="20"/>
              </w:rPr>
              <w:t>s.42</w:t>
            </w:r>
            <w:proofErr w:type="spellEnd"/>
            <w:r w:rsidRPr="10BD5DD1">
              <w:rPr>
                <w:rFonts w:cs="Arial"/>
                <w:sz w:val="20"/>
                <w:szCs w:val="20"/>
              </w:rPr>
              <w:t xml:space="preserve"> (Care Act 2014) is needed, should an interim risk management process be used?</w:t>
            </w:r>
          </w:p>
          <w:p w14:paraId="0009AE93" w14:textId="7B2A2450" w:rsidR="001166DA" w:rsidRPr="007C04DB" w:rsidRDefault="001166DA" w:rsidP="00345E09">
            <w:pPr>
              <w:spacing w:line="259" w:lineRule="auto"/>
              <w:rPr>
                <w:rFonts w:cs="Arial"/>
                <w:bCs/>
                <w:sz w:val="20"/>
                <w:szCs w:val="20"/>
              </w:rPr>
            </w:pPr>
          </w:p>
        </w:tc>
        <w:tc>
          <w:tcPr>
            <w:tcW w:w="3119" w:type="dxa"/>
            <w:vMerge/>
          </w:tcPr>
          <w:p w14:paraId="0E7AE1F9" w14:textId="77777777" w:rsidR="00197287" w:rsidRPr="007C04DB" w:rsidRDefault="00197287" w:rsidP="004F5AAA">
            <w:pPr>
              <w:spacing w:line="259" w:lineRule="auto"/>
              <w:rPr>
                <w:bCs/>
                <w:sz w:val="20"/>
                <w:szCs w:val="20"/>
              </w:rPr>
            </w:pPr>
          </w:p>
        </w:tc>
      </w:tr>
      <w:tr w:rsidR="00197287" w:rsidRPr="007C04DB" w14:paraId="17CCEB07" w14:textId="77777777" w:rsidTr="001166DA">
        <w:trPr>
          <w:trHeight w:val="624"/>
        </w:trPr>
        <w:tc>
          <w:tcPr>
            <w:tcW w:w="787" w:type="dxa"/>
            <w:vMerge/>
          </w:tcPr>
          <w:p w14:paraId="4E895FC6" w14:textId="77777777" w:rsidR="00197287" w:rsidRPr="007C04DB" w:rsidRDefault="00197287" w:rsidP="00345E09">
            <w:pPr>
              <w:numPr>
                <w:ilvl w:val="0"/>
                <w:numId w:val="13"/>
              </w:numPr>
              <w:spacing w:line="259" w:lineRule="auto"/>
              <w:ind w:left="31" w:right="178" w:firstLine="0"/>
              <w:rPr>
                <w:rFonts w:cs="Arial"/>
                <w:bCs/>
                <w:sz w:val="20"/>
                <w:szCs w:val="20"/>
              </w:rPr>
            </w:pPr>
          </w:p>
        </w:tc>
        <w:tc>
          <w:tcPr>
            <w:tcW w:w="3118" w:type="dxa"/>
            <w:vMerge/>
          </w:tcPr>
          <w:p w14:paraId="072C12F6" w14:textId="77777777" w:rsidR="00197287" w:rsidRPr="007C04DB" w:rsidRDefault="00197287" w:rsidP="00345E09">
            <w:pPr>
              <w:spacing w:line="259" w:lineRule="auto"/>
              <w:rPr>
                <w:sz w:val="20"/>
                <w:szCs w:val="20"/>
              </w:rPr>
            </w:pPr>
          </w:p>
        </w:tc>
        <w:tc>
          <w:tcPr>
            <w:tcW w:w="7010" w:type="dxa"/>
          </w:tcPr>
          <w:p w14:paraId="1BB56E0E" w14:textId="142B4B56" w:rsidR="00197287" w:rsidRPr="007C04DB" w:rsidRDefault="00197287" w:rsidP="00345E09">
            <w:pPr>
              <w:spacing w:line="259" w:lineRule="auto"/>
              <w:rPr>
                <w:rFonts w:cs="Arial"/>
                <w:sz w:val="20"/>
                <w:szCs w:val="20"/>
              </w:rPr>
            </w:pPr>
            <w:proofErr w:type="spellStart"/>
            <w:r w:rsidRPr="10BD5DD1">
              <w:rPr>
                <w:rFonts w:cs="Arial"/>
                <w:sz w:val="20"/>
                <w:szCs w:val="20"/>
              </w:rPr>
              <w:t>Q</w:t>
            </w:r>
            <w:r w:rsidR="4754E47D" w:rsidRPr="10BD5DD1">
              <w:rPr>
                <w:rFonts w:cs="Arial"/>
                <w:sz w:val="20"/>
                <w:szCs w:val="20"/>
              </w:rPr>
              <w:t>7</w:t>
            </w:r>
            <w:proofErr w:type="spellEnd"/>
            <w:r w:rsidRPr="10BD5DD1">
              <w:rPr>
                <w:rFonts w:cs="Arial"/>
                <w:sz w:val="20"/>
                <w:szCs w:val="20"/>
              </w:rPr>
              <w:t>: How is referral-feedback communicated, so that referring agencies are able to be transparent with the adult at risk about the process and what to expect?</w:t>
            </w:r>
          </w:p>
          <w:p w14:paraId="40E02DA6" w14:textId="18C21523" w:rsidR="001166DA" w:rsidRPr="007C04DB" w:rsidRDefault="001166DA" w:rsidP="00345E09">
            <w:pPr>
              <w:spacing w:line="259" w:lineRule="auto"/>
              <w:rPr>
                <w:rFonts w:cs="Arial"/>
                <w:bCs/>
                <w:sz w:val="20"/>
                <w:szCs w:val="20"/>
              </w:rPr>
            </w:pPr>
          </w:p>
        </w:tc>
        <w:tc>
          <w:tcPr>
            <w:tcW w:w="3119" w:type="dxa"/>
            <w:vMerge/>
          </w:tcPr>
          <w:p w14:paraId="734421AD" w14:textId="77777777" w:rsidR="00197287" w:rsidRPr="007C04DB" w:rsidRDefault="00197287" w:rsidP="004F5AAA">
            <w:pPr>
              <w:spacing w:line="259" w:lineRule="auto"/>
              <w:rPr>
                <w:bCs/>
                <w:sz w:val="20"/>
                <w:szCs w:val="20"/>
              </w:rPr>
            </w:pPr>
          </w:p>
        </w:tc>
      </w:tr>
      <w:tr w:rsidR="00A35D1A" w:rsidRPr="007C04DB" w14:paraId="56C682A6" w14:textId="77777777" w:rsidTr="001166DA">
        <w:trPr>
          <w:trHeight w:val="624"/>
        </w:trPr>
        <w:tc>
          <w:tcPr>
            <w:tcW w:w="787" w:type="dxa"/>
            <w:vMerge w:val="restart"/>
          </w:tcPr>
          <w:p w14:paraId="471DDD1F" w14:textId="46159C3F" w:rsidR="00A35D1A" w:rsidRPr="007C04DB" w:rsidRDefault="00A35D1A" w:rsidP="10BD5DD1">
            <w:pPr>
              <w:pStyle w:val="ListParagraph"/>
              <w:spacing w:line="259" w:lineRule="auto"/>
              <w:ind w:left="720" w:right="178" w:firstLine="0"/>
              <w:rPr>
                <w:rFonts w:eastAsiaTheme="minorEastAsia"/>
                <w:sz w:val="20"/>
                <w:szCs w:val="20"/>
                <w:lang w:val="en-GB"/>
              </w:rPr>
            </w:pPr>
          </w:p>
        </w:tc>
        <w:tc>
          <w:tcPr>
            <w:tcW w:w="3118" w:type="dxa"/>
            <w:vMerge w:val="restart"/>
          </w:tcPr>
          <w:p w14:paraId="5FB8B8D0" w14:textId="345A9E08" w:rsidR="00A35D1A" w:rsidRPr="007C04DB" w:rsidRDefault="00A35D1A" w:rsidP="00345E09">
            <w:pPr>
              <w:spacing w:line="259" w:lineRule="auto"/>
              <w:rPr>
                <w:rFonts w:cs="Arial"/>
                <w:bCs/>
                <w:sz w:val="20"/>
                <w:szCs w:val="20"/>
              </w:rPr>
            </w:pPr>
            <w:r w:rsidRPr="007C04DB">
              <w:rPr>
                <w:sz w:val="20"/>
                <w:szCs w:val="20"/>
              </w:rPr>
              <w:t>Precision in self-neglect referrals</w:t>
            </w:r>
          </w:p>
        </w:tc>
        <w:tc>
          <w:tcPr>
            <w:tcW w:w="7010" w:type="dxa"/>
          </w:tcPr>
          <w:p w14:paraId="4C96F980" w14:textId="6C66DB6F" w:rsidR="00A35D1A" w:rsidRPr="007C04DB" w:rsidRDefault="00A35D1A" w:rsidP="00262C9D">
            <w:pPr>
              <w:spacing w:line="259" w:lineRule="auto"/>
              <w:rPr>
                <w:rFonts w:cs="Arial"/>
                <w:sz w:val="20"/>
                <w:szCs w:val="20"/>
              </w:rPr>
            </w:pPr>
            <w:r w:rsidRPr="10BD5DD1">
              <w:rPr>
                <w:rFonts w:cs="Arial"/>
                <w:sz w:val="20"/>
                <w:szCs w:val="20"/>
              </w:rPr>
              <w:t xml:space="preserve">Finding </w:t>
            </w:r>
            <w:r w:rsidR="3D0E6C65" w:rsidRPr="10BD5DD1">
              <w:rPr>
                <w:rFonts w:cs="Arial"/>
                <w:sz w:val="20"/>
                <w:szCs w:val="20"/>
              </w:rPr>
              <w:t xml:space="preserve">4 </w:t>
            </w:r>
            <w:proofErr w:type="spellStart"/>
            <w:r w:rsidRPr="10BD5DD1">
              <w:rPr>
                <w:rFonts w:cs="Arial"/>
                <w:sz w:val="20"/>
                <w:szCs w:val="20"/>
              </w:rPr>
              <w:t>Q</w:t>
            </w:r>
            <w:r w:rsidR="21E21102" w:rsidRPr="10BD5DD1">
              <w:rPr>
                <w:rFonts w:cs="Arial"/>
                <w:sz w:val="20"/>
                <w:szCs w:val="20"/>
              </w:rPr>
              <w:t>8</w:t>
            </w:r>
            <w:proofErr w:type="spellEnd"/>
            <w:r w:rsidRPr="10BD5DD1">
              <w:rPr>
                <w:rFonts w:cs="Arial"/>
                <w:sz w:val="20"/>
                <w:szCs w:val="20"/>
              </w:rPr>
              <w:t>: What makes a good referral for a case involving self-neglect?</w:t>
            </w:r>
          </w:p>
        </w:tc>
        <w:tc>
          <w:tcPr>
            <w:tcW w:w="3119" w:type="dxa"/>
            <w:vMerge w:val="restart"/>
          </w:tcPr>
          <w:p w14:paraId="1805D2AF" w14:textId="77777777" w:rsidR="00A35D1A" w:rsidRPr="007C04DB" w:rsidRDefault="00EB707D" w:rsidP="00A35D1A">
            <w:pPr>
              <w:pStyle w:val="ListParagraph"/>
              <w:numPr>
                <w:ilvl w:val="0"/>
                <w:numId w:val="31"/>
              </w:numPr>
              <w:spacing w:line="259" w:lineRule="auto"/>
              <w:ind w:left="172" w:hanging="172"/>
              <w:rPr>
                <w:bCs/>
                <w:sz w:val="20"/>
                <w:szCs w:val="20"/>
                <w:lang w:val="en-GB"/>
              </w:rPr>
            </w:pPr>
            <w:r w:rsidRPr="007C04DB">
              <w:rPr>
                <w:bCs/>
                <w:sz w:val="20"/>
                <w:szCs w:val="20"/>
                <w:lang w:val="en-GB"/>
              </w:rPr>
              <w:t>Guidance and training materials presented to SAB</w:t>
            </w:r>
          </w:p>
          <w:p w14:paraId="3D806D61" w14:textId="77777777" w:rsidR="00EB707D" w:rsidRPr="007C04DB" w:rsidRDefault="00FA00FC" w:rsidP="00A35D1A">
            <w:pPr>
              <w:pStyle w:val="ListParagraph"/>
              <w:numPr>
                <w:ilvl w:val="0"/>
                <w:numId w:val="31"/>
              </w:numPr>
              <w:spacing w:line="259" w:lineRule="auto"/>
              <w:ind w:left="172" w:hanging="172"/>
              <w:rPr>
                <w:bCs/>
                <w:sz w:val="20"/>
                <w:szCs w:val="20"/>
                <w:lang w:val="en-GB"/>
              </w:rPr>
            </w:pPr>
            <w:r w:rsidRPr="007C04DB">
              <w:rPr>
                <w:bCs/>
                <w:sz w:val="20"/>
                <w:szCs w:val="20"/>
                <w:lang w:val="en-GB"/>
              </w:rPr>
              <w:t>Practitioner survey</w:t>
            </w:r>
          </w:p>
          <w:p w14:paraId="15BB8ABF" w14:textId="46CC65FB" w:rsidR="00FA00FC" w:rsidRPr="007C04DB" w:rsidRDefault="00FA00FC" w:rsidP="00A35D1A">
            <w:pPr>
              <w:pStyle w:val="ListParagraph"/>
              <w:numPr>
                <w:ilvl w:val="0"/>
                <w:numId w:val="31"/>
              </w:numPr>
              <w:spacing w:line="259" w:lineRule="auto"/>
              <w:ind w:left="172" w:hanging="172"/>
              <w:rPr>
                <w:bCs/>
                <w:sz w:val="20"/>
                <w:szCs w:val="20"/>
                <w:lang w:val="en-GB"/>
              </w:rPr>
            </w:pPr>
            <w:r w:rsidRPr="007C04DB">
              <w:rPr>
                <w:bCs/>
                <w:sz w:val="20"/>
                <w:szCs w:val="20"/>
                <w:lang w:val="en-GB"/>
              </w:rPr>
              <w:t>Safeguarding audit</w:t>
            </w:r>
          </w:p>
        </w:tc>
      </w:tr>
      <w:tr w:rsidR="00A35D1A" w:rsidRPr="007C04DB" w14:paraId="29BBD758" w14:textId="77777777" w:rsidTr="001166DA">
        <w:trPr>
          <w:trHeight w:val="624"/>
          <w:hidden/>
        </w:trPr>
        <w:tc>
          <w:tcPr>
            <w:tcW w:w="787" w:type="dxa"/>
            <w:vMerge/>
          </w:tcPr>
          <w:p w14:paraId="5425C0F7" w14:textId="77777777" w:rsidR="00A35D1A" w:rsidRPr="007C04DB" w:rsidRDefault="00A35D1A" w:rsidP="00A34F4E">
            <w:pPr>
              <w:pStyle w:val="ListParagraph"/>
              <w:numPr>
                <w:ilvl w:val="0"/>
                <w:numId w:val="13"/>
              </w:numPr>
              <w:spacing w:line="259" w:lineRule="auto"/>
              <w:ind w:right="178"/>
              <w:contextualSpacing w:val="0"/>
              <w:rPr>
                <w:rFonts w:eastAsiaTheme="minorHAnsi"/>
                <w:bCs/>
                <w:vanish/>
                <w:sz w:val="20"/>
                <w:szCs w:val="20"/>
                <w:lang w:val="en-GB"/>
              </w:rPr>
            </w:pPr>
          </w:p>
        </w:tc>
        <w:tc>
          <w:tcPr>
            <w:tcW w:w="3118" w:type="dxa"/>
            <w:vMerge/>
          </w:tcPr>
          <w:p w14:paraId="47689A92" w14:textId="77777777" w:rsidR="00A35D1A" w:rsidRPr="007C04DB" w:rsidRDefault="00A35D1A" w:rsidP="00345E09">
            <w:pPr>
              <w:spacing w:line="259" w:lineRule="auto"/>
              <w:rPr>
                <w:sz w:val="20"/>
                <w:szCs w:val="20"/>
              </w:rPr>
            </w:pPr>
          </w:p>
        </w:tc>
        <w:tc>
          <w:tcPr>
            <w:tcW w:w="7010" w:type="dxa"/>
          </w:tcPr>
          <w:p w14:paraId="12FEC0E3" w14:textId="3B0F90C8" w:rsidR="00A35D1A" w:rsidRPr="007C04DB" w:rsidRDefault="00A35D1A" w:rsidP="00345E09">
            <w:pPr>
              <w:spacing w:line="259" w:lineRule="auto"/>
              <w:rPr>
                <w:rFonts w:cs="Arial"/>
                <w:sz w:val="20"/>
                <w:szCs w:val="20"/>
              </w:rPr>
            </w:pPr>
            <w:r w:rsidRPr="10BD5DD1">
              <w:rPr>
                <w:rFonts w:cs="Arial"/>
                <w:sz w:val="20"/>
                <w:szCs w:val="20"/>
              </w:rPr>
              <w:t xml:space="preserve">Finding </w:t>
            </w:r>
            <w:proofErr w:type="spellStart"/>
            <w:r w:rsidRPr="10BD5DD1">
              <w:rPr>
                <w:rFonts w:cs="Arial"/>
                <w:sz w:val="20"/>
                <w:szCs w:val="20"/>
              </w:rPr>
              <w:t>4a</w:t>
            </w:r>
            <w:proofErr w:type="spellEnd"/>
            <w:r w:rsidRPr="10BD5DD1">
              <w:rPr>
                <w:rFonts w:cs="Arial"/>
                <w:sz w:val="20"/>
                <w:szCs w:val="20"/>
              </w:rPr>
              <w:t xml:space="preserve">, </w:t>
            </w:r>
            <w:proofErr w:type="spellStart"/>
            <w:r w:rsidRPr="10BD5DD1">
              <w:rPr>
                <w:rFonts w:cs="Arial"/>
                <w:sz w:val="20"/>
                <w:szCs w:val="20"/>
              </w:rPr>
              <w:t>Q</w:t>
            </w:r>
            <w:r w:rsidR="11411D47" w:rsidRPr="10BD5DD1">
              <w:rPr>
                <w:rFonts w:cs="Arial"/>
                <w:sz w:val="20"/>
                <w:szCs w:val="20"/>
              </w:rPr>
              <w:t>9</w:t>
            </w:r>
            <w:proofErr w:type="spellEnd"/>
            <w:r w:rsidRPr="10BD5DD1">
              <w:rPr>
                <w:rFonts w:cs="Arial"/>
                <w:sz w:val="20"/>
                <w:szCs w:val="20"/>
              </w:rPr>
              <w:t>: How can the Board support practitioners to make high quality referrals in relation to self-neglect?</w:t>
            </w:r>
          </w:p>
        </w:tc>
        <w:tc>
          <w:tcPr>
            <w:tcW w:w="3119" w:type="dxa"/>
            <w:vMerge/>
          </w:tcPr>
          <w:p w14:paraId="523A82E1" w14:textId="77777777" w:rsidR="00A35D1A" w:rsidRPr="007C04DB" w:rsidRDefault="00A35D1A" w:rsidP="00345E09">
            <w:pPr>
              <w:spacing w:line="259" w:lineRule="auto"/>
              <w:rPr>
                <w:rFonts w:cs="Arial"/>
                <w:bCs/>
                <w:sz w:val="20"/>
                <w:szCs w:val="20"/>
              </w:rPr>
            </w:pPr>
          </w:p>
        </w:tc>
      </w:tr>
      <w:tr w:rsidR="00A20D4C" w:rsidRPr="007C04DB" w14:paraId="5AB92A8F" w14:textId="77777777" w:rsidTr="001166DA">
        <w:trPr>
          <w:trHeight w:val="624"/>
        </w:trPr>
        <w:tc>
          <w:tcPr>
            <w:tcW w:w="787" w:type="dxa"/>
            <w:vMerge w:val="restart"/>
          </w:tcPr>
          <w:p w14:paraId="2DE31E40" w14:textId="77777777" w:rsidR="00A20D4C" w:rsidRPr="007C04DB" w:rsidRDefault="00A20D4C" w:rsidP="00BF4665">
            <w:pPr>
              <w:numPr>
                <w:ilvl w:val="1"/>
                <w:numId w:val="13"/>
              </w:numPr>
              <w:spacing w:line="259" w:lineRule="auto"/>
              <w:ind w:left="30" w:right="178" w:firstLine="0"/>
              <w:rPr>
                <w:rFonts w:cs="Arial"/>
                <w:bCs/>
                <w:sz w:val="20"/>
                <w:szCs w:val="20"/>
              </w:rPr>
            </w:pPr>
          </w:p>
        </w:tc>
        <w:tc>
          <w:tcPr>
            <w:tcW w:w="3118" w:type="dxa"/>
            <w:vMerge w:val="restart"/>
          </w:tcPr>
          <w:p w14:paraId="7D0C4062" w14:textId="310C0206" w:rsidR="00A20D4C" w:rsidRPr="007C04DB" w:rsidRDefault="00D84BD7" w:rsidP="00345E09">
            <w:pPr>
              <w:spacing w:line="259" w:lineRule="auto"/>
              <w:rPr>
                <w:rFonts w:cs="Arial"/>
                <w:bCs/>
                <w:sz w:val="20"/>
                <w:szCs w:val="20"/>
              </w:rPr>
            </w:pPr>
            <w:r w:rsidRPr="007C04DB">
              <w:rPr>
                <w:sz w:val="20"/>
                <w:szCs w:val="20"/>
              </w:rPr>
              <w:t>Multi-agency risk management</w:t>
            </w:r>
          </w:p>
        </w:tc>
        <w:tc>
          <w:tcPr>
            <w:tcW w:w="7010" w:type="dxa"/>
          </w:tcPr>
          <w:p w14:paraId="5A0EE636" w14:textId="2FFB7801" w:rsidR="00B36079" w:rsidRPr="007C04DB" w:rsidRDefault="00A20D4C" w:rsidP="00A20D4C">
            <w:pPr>
              <w:spacing w:line="259" w:lineRule="auto"/>
              <w:rPr>
                <w:rFonts w:cs="Arial"/>
                <w:sz w:val="20"/>
                <w:szCs w:val="20"/>
              </w:rPr>
            </w:pPr>
            <w:r w:rsidRPr="10BD5DD1">
              <w:rPr>
                <w:rFonts w:cs="Arial"/>
                <w:sz w:val="20"/>
                <w:szCs w:val="20"/>
              </w:rPr>
              <w:t xml:space="preserve">Finding </w:t>
            </w:r>
            <w:proofErr w:type="spellStart"/>
            <w:r w:rsidRPr="10BD5DD1">
              <w:rPr>
                <w:rFonts w:cs="Arial"/>
                <w:sz w:val="20"/>
                <w:szCs w:val="20"/>
              </w:rPr>
              <w:t>4b</w:t>
            </w:r>
            <w:proofErr w:type="spellEnd"/>
            <w:r w:rsidRPr="10BD5DD1">
              <w:rPr>
                <w:rFonts w:cs="Arial"/>
                <w:sz w:val="20"/>
                <w:szCs w:val="20"/>
              </w:rPr>
              <w:t xml:space="preserve">, </w:t>
            </w:r>
            <w:proofErr w:type="spellStart"/>
            <w:r w:rsidRPr="10BD5DD1">
              <w:rPr>
                <w:rFonts w:cs="Arial"/>
                <w:sz w:val="20"/>
                <w:szCs w:val="20"/>
              </w:rPr>
              <w:t>Q</w:t>
            </w:r>
            <w:r w:rsidR="7536BC10" w:rsidRPr="10BD5DD1">
              <w:rPr>
                <w:rFonts w:cs="Arial"/>
                <w:sz w:val="20"/>
                <w:szCs w:val="20"/>
              </w:rPr>
              <w:t>10</w:t>
            </w:r>
            <w:proofErr w:type="spellEnd"/>
            <w:r w:rsidRPr="10BD5DD1">
              <w:rPr>
                <w:rFonts w:cs="Arial"/>
                <w:sz w:val="20"/>
                <w:szCs w:val="20"/>
              </w:rPr>
              <w:t>: How can the Board be assured that risk information is reviewed and updated in the context of multi-agency safeguarding or risk processes?</w:t>
            </w:r>
          </w:p>
        </w:tc>
        <w:tc>
          <w:tcPr>
            <w:tcW w:w="3119" w:type="dxa"/>
            <w:vMerge w:val="restart"/>
          </w:tcPr>
          <w:p w14:paraId="1DEF05D3" w14:textId="02FBE25C" w:rsidR="00A20D4C" w:rsidRPr="007C04DB" w:rsidRDefault="00775B59" w:rsidP="00FC4388">
            <w:pPr>
              <w:pStyle w:val="ListParagraph"/>
              <w:numPr>
                <w:ilvl w:val="0"/>
                <w:numId w:val="32"/>
              </w:numPr>
              <w:spacing w:line="259" w:lineRule="auto"/>
              <w:ind w:left="172" w:hanging="172"/>
              <w:rPr>
                <w:bCs/>
                <w:sz w:val="20"/>
                <w:szCs w:val="20"/>
                <w:lang w:val="en-GB"/>
              </w:rPr>
            </w:pPr>
            <w:r>
              <w:rPr>
                <w:bCs/>
                <w:sz w:val="20"/>
                <w:szCs w:val="20"/>
                <w:lang w:val="en-GB"/>
              </w:rPr>
              <w:t xml:space="preserve">Assurance </w:t>
            </w:r>
            <w:r w:rsidR="003D74DE">
              <w:rPr>
                <w:bCs/>
                <w:sz w:val="20"/>
                <w:szCs w:val="20"/>
                <w:lang w:val="en-GB"/>
              </w:rPr>
              <w:t xml:space="preserve">on members’ </w:t>
            </w:r>
            <w:r w:rsidR="008230C8" w:rsidRPr="007C04DB">
              <w:rPr>
                <w:bCs/>
                <w:sz w:val="20"/>
                <w:szCs w:val="20"/>
                <w:lang w:val="en-GB"/>
              </w:rPr>
              <w:t>recording processes</w:t>
            </w:r>
          </w:p>
          <w:p w14:paraId="6019D97B" w14:textId="6869E52F" w:rsidR="008230C8" w:rsidRPr="007C04DB" w:rsidRDefault="003D74DE" w:rsidP="00FC4388">
            <w:pPr>
              <w:pStyle w:val="ListParagraph"/>
              <w:numPr>
                <w:ilvl w:val="0"/>
                <w:numId w:val="32"/>
              </w:numPr>
              <w:spacing w:line="259" w:lineRule="auto"/>
              <w:ind w:left="172" w:hanging="172"/>
              <w:rPr>
                <w:bCs/>
                <w:sz w:val="20"/>
                <w:szCs w:val="20"/>
                <w:lang w:val="en-GB"/>
              </w:rPr>
            </w:pPr>
            <w:r>
              <w:rPr>
                <w:bCs/>
                <w:sz w:val="20"/>
                <w:szCs w:val="20"/>
                <w:lang w:val="en-GB"/>
              </w:rPr>
              <w:t xml:space="preserve">Assurance of members’ </w:t>
            </w:r>
            <w:r w:rsidR="00BC35B9" w:rsidRPr="007C04DB">
              <w:rPr>
                <w:bCs/>
                <w:sz w:val="20"/>
                <w:szCs w:val="20"/>
                <w:lang w:val="en-GB"/>
              </w:rPr>
              <w:t>staff safety procedures</w:t>
            </w:r>
          </w:p>
        </w:tc>
      </w:tr>
      <w:tr w:rsidR="00A20D4C" w:rsidRPr="007C04DB" w14:paraId="5789BD43" w14:textId="77777777" w:rsidTr="001166DA">
        <w:trPr>
          <w:trHeight w:val="624"/>
        </w:trPr>
        <w:tc>
          <w:tcPr>
            <w:tcW w:w="787" w:type="dxa"/>
            <w:vMerge/>
          </w:tcPr>
          <w:p w14:paraId="4BCEB482" w14:textId="77777777" w:rsidR="00A20D4C" w:rsidRPr="007C04DB" w:rsidRDefault="00A20D4C" w:rsidP="00BF4665">
            <w:pPr>
              <w:numPr>
                <w:ilvl w:val="1"/>
                <w:numId w:val="13"/>
              </w:numPr>
              <w:spacing w:line="259" w:lineRule="auto"/>
              <w:ind w:left="30" w:right="178" w:firstLine="0"/>
              <w:rPr>
                <w:rFonts w:cs="Arial"/>
                <w:bCs/>
                <w:sz w:val="20"/>
                <w:szCs w:val="20"/>
              </w:rPr>
            </w:pPr>
          </w:p>
        </w:tc>
        <w:tc>
          <w:tcPr>
            <w:tcW w:w="3118" w:type="dxa"/>
            <w:vMerge/>
          </w:tcPr>
          <w:p w14:paraId="53EFB1CC" w14:textId="77777777" w:rsidR="00A20D4C" w:rsidRPr="007C04DB" w:rsidRDefault="00A20D4C" w:rsidP="00345E09">
            <w:pPr>
              <w:spacing w:line="259" w:lineRule="auto"/>
              <w:rPr>
                <w:sz w:val="20"/>
                <w:szCs w:val="20"/>
              </w:rPr>
            </w:pPr>
          </w:p>
        </w:tc>
        <w:tc>
          <w:tcPr>
            <w:tcW w:w="7010" w:type="dxa"/>
          </w:tcPr>
          <w:p w14:paraId="2D84BF65" w14:textId="1E3DAFCA" w:rsidR="00B36079" w:rsidRPr="007C04DB" w:rsidRDefault="00F26741" w:rsidP="00A20D4C">
            <w:pPr>
              <w:spacing w:line="259" w:lineRule="auto"/>
              <w:rPr>
                <w:rFonts w:cs="Arial"/>
                <w:sz w:val="20"/>
                <w:szCs w:val="20"/>
              </w:rPr>
            </w:pPr>
            <w:r w:rsidRPr="10BD5DD1">
              <w:rPr>
                <w:rFonts w:cs="Arial"/>
                <w:sz w:val="20"/>
                <w:szCs w:val="20"/>
              </w:rPr>
              <w:t xml:space="preserve">Finding </w:t>
            </w:r>
            <w:proofErr w:type="spellStart"/>
            <w:r w:rsidRPr="10BD5DD1">
              <w:rPr>
                <w:rFonts w:cs="Arial"/>
                <w:sz w:val="20"/>
                <w:szCs w:val="20"/>
              </w:rPr>
              <w:t>4b</w:t>
            </w:r>
            <w:proofErr w:type="spellEnd"/>
            <w:r w:rsidRPr="10BD5DD1">
              <w:rPr>
                <w:rFonts w:cs="Arial"/>
                <w:sz w:val="20"/>
                <w:szCs w:val="20"/>
              </w:rPr>
              <w:t xml:space="preserve">, </w:t>
            </w:r>
            <w:proofErr w:type="spellStart"/>
            <w:r w:rsidRPr="10BD5DD1">
              <w:rPr>
                <w:rFonts w:cs="Arial"/>
                <w:sz w:val="20"/>
                <w:szCs w:val="20"/>
              </w:rPr>
              <w:t>Q</w:t>
            </w:r>
            <w:r w:rsidR="5A205FCF" w:rsidRPr="10BD5DD1">
              <w:rPr>
                <w:rFonts w:cs="Arial"/>
                <w:sz w:val="20"/>
                <w:szCs w:val="20"/>
              </w:rPr>
              <w:t>11</w:t>
            </w:r>
            <w:proofErr w:type="spellEnd"/>
            <w:r w:rsidRPr="10BD5DD1">
              <w:rPr>
                <w:rFonts w:cs="Arial"/>
                <w:sz w:val="20"/>
                <w:szCs w:val="20"/>
              </w:rPr>
              <w:t>: How can the Board use the launch of new Information Sharing guidance to promote training and re-affirmation of commitments to high-quality information sharing in safeguarding processes?</w:t>
            </w:r>
          </w:p>
        </w:tc>
        <w:tc>
          <w:tcPr>
            <w:tcW w:w="3119" w:type="dxa"/>
            <w:vMerge/>
          </w:tcPr>
          <w:p w14:paraId="58AF48D3" w14:textId="77777777" w:rsidR="00A20D4C" w:rsidRPr="007C04DB" w:rsidRDefault="00A20D4C" w:rsidP="00345E09">
            <w:pPr>
              <w:spacing w:line="259" w:lineRule="auto"/>
              <w:rPr>
                <w:rFonts w:cs="Arial"/>
                <w:bCs/>
                <w:sz w:val="20"/>
                <w:szCs w:val="20"/>
              </w:rPr>
            </w:pPr>
          </w:p>
        </w:tc>
      </w:tr>
      <w:tr w:rsidR="00A20D4C" w:rsidRPr="007C04DB" w14:paraId="14BCFB16" w14:textId="77777777" w:rsidTr="001166DA">
        <w:trPr>
          <w:trHeight w:val="624"/>
        </w:trPr>
        <w:tc>
          <w:tcPr>
            <w:tcW w:w="787" w:type="dxa"/>
            <w:vMerge/>
          </w:tcPr>
          <w:p w14:paraId="0B69D5F2" w14:textId="77777777" w:rsidR="00A20D4C" w:rsidRPr="007C04DB" w:rsidRDefault="00A20D4C" w:rsidP="00BF4665">
            <w:pPr>
              <w:numPr>
                <w:ilvl w:val="1"/>
                <w:numId w:val="13"/>
              </w:numPr>
              <w:spacing w:line="259" w:lineRule="auto"/>
              <w:ind w:left="30" w:right="178" w:firstLine="0"/>
              <w:rPr>
                <w:rFonts w:cs="Arial"/>
                <w:bCs/>
                <w:sz w:val="20"/>
                <w:szCs w:val="20"/>
              </w:rPr>
            </w:pPr>
          </w:p>
        </w:tc>
        <w:tc>
          <w:tcPr>
            <w:tcW w:w="3118" w:type="dxa"/>
            <w:vMerge/>
          </w:tcPr>
          <w:p w14:paraId="76415491" w14:textId="77777777" w:rsidR="00A20D4C" w:rsidRPr="007C04DB" w:rsidRDefault="00A20D4C" w:rsidP="00345E09">
            <w:pPr>
              <w:spacing w:line="259" w:lineRule="auto"/>
              <w:rPr>
                <w:sz w:val="20"/>
                <w:szCs w:val="20"/>
              </w:rPr>
            </w:pPr>
          </w:p>
        </w:tc>
        <w:tc>
          <w:tcPr>
            <w:tcW w:w="7010" w:type="dxa"/>
          </w:tcPr>
          <w:p w14:paraId="43562C99" w14:textId="464E143F" w:rsidR="00A20D4C" w:rsidRPr="007C04DB" w:rsidRDefault="00A20D4C" w:rsidP="00A20D4C">
            <w:pPr>
              <w:spacing w:line="259" w:lineRule="auto"/>
              <w:rPr>
                <w:rFonts w:cs="Arial"/>
                <w:sz w:val="20"/>
                <w:szCs w:val="20"/>
              </w:rPr>
            </w:pPr>
            <w:r w:rsidRPr="10BD5DD1">
              <w:rPr>
                <w:rFonts w:cs="Arial"/>
                <w:sz w:val="20"/>
                <w:szCs w:val="20"/>
              </w:rPr>
              <w:t xml:space="preserve">Finding </w:t>
            </w:r>
            <w:proofErr w:type="spellStart"/>
            <w:r w:rsidRPr="10BD5DD1">
              <w:rPr>
                <w:rFonts w:cs="Arial"/>
                <w:sz w:val="20"/>
                <w:szCs w:val="20"/>
              </w:rPr>
              <w:t>4b</w:t>
            </w:r>
            <w:proofErr w:type="spellEnd"/>
            <w:r w:rsidRPr="10BD5DD1">
              <w:rPr>
                <w:rFonts w:cs="Arial"/>
                <w:sz w:val="20"/>
                <w:szCs w:val="20"/>
              </w:rPr>
              <w:t xml:space="preserve">, </w:t>
            </w:r>
            <w:proofErr w:type="spellStart"/>
            <w:r w:rsidRPr="10BD5DD1">
              <w:rPr>
                <w:rFonts w:cs="Arial"/>
                <w:sz w:val="20"/>
                <w:szCs w:val="20"/>
              </w:rPr>
              <w:t>Q</w:t>
            </w:r>
            <w:r w:rsidR="6B4B0239" w:rsidRPr="10BD5DD1">
              <w:rPr>
                <w:rFonts w:cs="Arial"/>
                <w:sz w:val="20"/>
                <w:szCs w:val="20"/>
              </w:rPr>
              <w:t>12</w:t>
            </w:r>
            <w:proofErr w:type="spellEnd"/>
            <w:r w:rsidRPr="10BD5DD1">
              <w:rPr>
                <w:rFonts w:cs="Arial"/>
                <w:sz w:val="20"/>
                <w:szCs w:val="20"/>
              </w:rPr>
              <w:t>: How can the safeguarding system support information-sharing and protect staff from harm where there is a known risk of harm?</w:t>
            </w:r>
          </w:p>
        </w:tc>
        <w:tc>
          <w:tcPr>
            <w:tcW w:w="3119" w:type="dxa"/>
            <w:vMerge/>
          </w:tcPr>
          <w:p w14:paraId="5BF9AF0A" w14:textId="77777777" w:rsidR="00A20D4C" w:rsidRPr="007C04DB" w:rsidRDefault="00A20D4C" w:rsidP="00345E09">
            <w:pPr>
              <w:spacing w:line="259" w:lineRule="auto"/>
              <w:rPr>
                <w:rFonts w:cs="Arial"/>
                <w:bCs/>
                <w:sz w:val="20"/>
                <w:szCs w:val="20"/>
              </w:rPr>
            </w:pPr>
          </w:p>
        </w:tc>
      </w:tr>
      <w:tr w:rsidR="002F3B48" w:rsidRPr="007C04DB" w14:paraId="4EECE8EF" w14:textId="77777777" w:rsidTr="001166DA">
        <w:trPr>
          <w:trHeight w:val="624"/>
        </w:trPr>
        <w:tc>
          <w:tcPr>
            <w:tcW w:w="787" w:type="dxa"/>
            <w:vMerge w:val="restart"/>
          </w:tcPr>
          <w:p w14:paraId="7F6FE589" w14:textId="77777777" w:rsidR="002F3B48" w:rsidRPr="007C04DB" w:rsidRDefault="002F3B48" w:rsidP="00345E09">
            <w:pPr>
              <w:numPr>
                <w:ilvl w:val="0"/>
                <w:numId w:val="13"/>
              </w:numPr>
              <w:spacing w:line="259" w:lineRule="auto"/>
              <w:ind w:left="31" w:right="178" w:firstLine="0"/>
              <w:rPr>
                <w:rFonts w:cs="Arial"/>
                <w:bCs/>
                <w:sz w:val="20"/>
                <w:szCs w:val="20"/>
              </w:rPr>
            </w:pPr>
          </w:p>
        </w:tc>
        <w:tc>
          <w:tcPr>
            <w:tcW w:w="3118" w:type="dxa"/>
            <w:vMerge w:val="restart"/>
          </w:tcPr>
          <w:p w14:paraId="02C5AE90" w14:textId="05D4DB55" w:rsidR="002F3B48" w:rsidRPr="007C04DB" w:rsidRDefault="002F3B48" w:rsidP="00BF4665">
            <w:pPr>
              <w:spacing w:line="259" w:lineRule="auto"/>
              <w:rPr>
                <w:rFonts w:cs="Arial"/>
                <w:bCs/>
                <w:sz w:val="20"/>
                <w:szCs w:val="20"/>
              </w:rPr>
            </w:pPr>
            <w:r w:rsidRPr="007C04DB">
              <w:rPr>
                <w:sz w:val="20"/>
                <w:szCs w:val="20"/>
              </w:rPr>
              <w:t>The use of Safeguarding Specialists in Safeguarding processes</w:t>
            </w:r>
            <w:r w:rsidRPr="007C04DB" w:rsidDel="00386E17">
              <w:rPr>
                <w:sz w:val="20"/>
                <w:szCs w:val="20"/>
              </w:rPr>
              <w:t xml:space="preserve"> </w:t>
            </w:r>
          </w:p>
        </w:tc>
        <w:tc>
          <w:tcPr>
            <w:tcW w:w="7010" w:type="dxa"/>
          </w:tcPr>
          <w:p w14:paraId="74C66C1A" w14:textId="41CA7196" w:rsidR="00B36079" w:rsidRPr="007C04DB" w:rsidRDefault="002F3B48" w:rsidP="00345E09">
            <w:pPr>
              <w:spacing w:line="259" w:lineRule="auto"/>
              <w:rPr>
                <w:rFonts w:cs="Arial"/>
                <w:sz w:val="20"/>
                <w:szCs w:val="20"/>
              </w:rPr>
            </w:pPr>
            <w:r w:rsidRPr="10BD5DD1">
              <w:rPr>
                <w:rFonts w:cs="Arial"/>
                <w:sz w:val="20"/>
                <w:szCs w:val="20"/>
              </w:rPr>
              <w:t xml:space="preserve">Finding 5, </w:t>
            </w:r>
            <w:proofErr w:type="spellStart"/>
            <w:r w:rsidRPr="10BD5DD1">
              <w:rPr>
                <w:rFonts w:cs="Arial"/>
                <w:sz w:val="20"/>
                <w:szCs w:val="20"/>
              </w:rPr>
              <w:t>Q</w:t>
            </w:r>
            <w:r w:rsidR="0626475E" w:rsidRPr="10BD5DD1">
              <w:rPr>
                <w:rFonts w:cs="Arial"/>
                <w:sz w:val="20"/>
                <w:szCs w:val="20"/>
              </w:rPr>
              <w:t>13</w:t>
            </w:r>
            <w:proofErr w:type="spellEnd"/>
            <w:r w:rsidRPr="10BD5DD1">
              <w:rPr>
                <w:rFonts w:cs="Arial"/>
                <w:sz w:val="20"/>
                <w:szCs w:val="20"/>
              </w:rPr>
              <w:t>: What is the role of organisational leads, specialist safeguarding practitioners, and representatives in the safeguarding process? How does the system account for team approaches to care delivery?</w:t>
            </w:r>
          </w:p>
        </w:tc>
        <w:tc>
          <w:tcPr>
            <w:tcW w:w="3119" w:type="dxa"/>
            <w:vMerge w:val="restart"/>
          </w:tcPr>
          <w:p w14:paraId="6D61872B" w14:textId="6A20E557" w:rsidR="002F3B48" w:rsidRPr="007C04DB" w:rsidRDefault="00AB47FE" w:rsidP="002F3B48">
            <w:pPr>
              <w:pStyle w:val="ListParagraph"/>
              <w:numPr>
                <w:ilvl w:val="0"/>
                <w:numId w:val="33"/>
              </w:numPr>
              <w:spacing w:line="259" w:lineRule="auto"/>
              <w:ind w:left="172" w:hanging="172"/>
              <w:rPr>
                <w:bCs/>
                <w:sz w:val="20"/>
                <w:szCs w:val="20"/>
                <w:lang w:val="en-GB"/>
              </w:rPr>
            </w:pPr>
            <w:r>
              <w:rPr>
                <w:bCs/>
                <w:sz w:val="20"/>
                <w:szCs w:val="20"/>
                <w:lang w:val="en-GB"/>
              </w:rPr>
              <w:t>S</w:t>
            </w:r>
            <w:r w:rsidR="000C3C98" w:rsidRPr="007C04DB">
              <w:rPr>
                <w:bCs/>
                <w:sz w:val="20"/>
                <w:szCs w:val="20"/>
                <w:lang w:val="en-GB"/>
              </w:rPr>
              <w:t>pecialist staff and organisational representative</w:t>
            </w:r>
            <w:r>
              <w:rPr>
                <w:bCs/>
                <w:sz w:val="20"/>
                <w:szCs w:val="20"/>
                <w:lang w:val="en-GB"/>
              </w:rPr>
              <w:t xml:space="preserve"> survey</w:t>
            </w:r>
          </w:p>
          <w:p w14:paraId="3357EB5C" w14:textId="76BFB8A1" w:rsidR="00B36079" w:rsidRPr="007C04DB" w:rsidRDefault="00AB47FE" w:rsidP="001166DA">
            <w:pPr>
              <w:pStyle w:val="ListParagraph"/>
              <w:numPr>
                <w:ilvl w:val="0"/>
                <w:numId w:val="33"/>
              </w:numPr>
              <w:spacing w:line="259" w:lineRule="auto"/>
              <w:ind w:left="172" w:hanging="172"/>
              <w:rPr>
                <w:bCs/>
                <w:sz w:val="20"/>
                <w:szCs w:val="20"/>
                <w:lang w:val="en-GB"/>
              </w:rPr>
            </w:pPr>
            <w:r>
              <w:rPr>
                <w:bCs/>
                <w:sz w:val="20"/>
                <w:szCs w:val="20"/>
                <w:lang w:val="en-GB"/>
              </w:rPr>
              <w:t>Measure the</w:t>
            </w:r>
            <w:r w:rsidR="000C3C98" w:rsidRPr="007C04DB">
              <w:rPr>
                <w:bCs/>
                <w:sz w:val="20"/>
                <w:szCs w:val="20"/>
                <w:lang w:val="en-GB"/>
              </w:rPr>
              <w:t xml:space="preserve"> frequency in which representatives are used</w:t>
            </w:r>
            <w:r w:rsidR="00B36079" w:rsidRPr="007C04DB">
              <w:rPr>
                <w:bCs/>
                <w:sz w:val="20"/>
                <w:szCs w:val="20"/>
                <w:lang w:val="en-GB"/>
              </w:rPr>
              <w:t>.</w:t>
            </w:r>
          </w:p>
        </w:tc>
      </w:tr>
      <w:tr w:rsidR="002F3B48" w:rsidRPr="007C04DB" w14:paraId="15798167" w14:textId="77777777" w:rsidTr="001166DA">
        <w:trPr>
          <w:trHeight w:val="624"/>
        </w:trPr>
        <w:tc>
          <w:tcPr>
            <w:tcW w:w="787" w:type="dxa"/>
            <w:vMerge/>
          </w:tcPr>
          <w:p w14:paraId="7018AA7F" w14:textId="77777777" w:rsidR="002F3B48" w:rsidRPr="007C04DB" w:rsidRDefault="002F3B48" w:rsidP="00345E09">
            <w:pPr>
              <w:numPr>
                <w:ilvl w:val="0"/>
                <w:numId w:val="13"/>
              </w:numPr>
              <w:spacing w:line="259" w:lineRule="auto"/>
              <w:ind w:left="31" w:right="178" w:firstLine="0"/>
              <w:rPr>
                <w:rFonts w:cs="Arial"/>
                <w:bCs/>
                <w:sz w:val="20"/>
                <w:szCs w:val="20"/>
              </w:rPr>
            </w:pPr>
          </w:p>
        </w:tc>
        <w:tc>
          <w:tcPr>
            <w:tcW w:w="3118" w:type="dxa"/>
            <w:vMerge/>
          </w:tcPr>
          <w:p w14:paraId="7D51AAA4" w14:textId="77777777" w:rsidR="002F3B48" w:rsidRPr="007C04DB" w:rsidRDefault="002F3B48" w:rsidP="00BF4665">
            <w:pPr>
              <w:spacing w:line="259" w:lineRule="auto"/>
              <w:rPr>
                <w:sz w:val="20"/>
                <w:szCs w:val="20"/>
              </w:rPr>
            </w:pPr>
          </w:p>
        </w:tc>
        <w:tc>
          <w:tcPr>
            <w:tcW w:w="7010" w:type="dxa"/>
          </w:tcPr>
          <w:p w14:paraId="410C53FB" w14:textId="722574CD" w:rsidR="002F3B48" w:rsidRPr="007C04DB" w:rsidRDefault="002F3B48" w:rsidP="00345E09">
            <w:pPr>
              <w:spacing w:line="259" w:lineRule="auto"/>
              <w:rPr>
                <w:rFonts w:cs="Arial"/>
                <w:sz w:val="20"/>
                <w:szCs w:val="20"/>
              </w:rPr>
            </w:pPr>
            <w:r w:rsidRPr="10BD5DD1">
              <w:rPr>
                <w:rFonts w:cs="Arial"/>
                <w:sz w:val="20"/>
                <w:szCs w:val="20"/>
              </w:rPr>
              <w:t xml:space="preserve">Finding 5, </w:t>
            </w:r>
            <w:proofErr w:type="spellStart"/>
            <w:r w:rsidRPr="10BD5DD1">
              <w:rPr>
                <w:rFonts w:cs="Arial"/>
                <w:sz w:val="20"/>
                <w:szCs w:val="20"/>
              </w:rPr>
              <w:t>Q</w:t>
            </w:r>
            <w:r w:rsidR="03FD87E9" w:rsidRPr="10BD5DD1">
              <w:rPr>
                <w:rFonts w:cs="Arial"/>
                <w:sz w:val="20"/>
                <w:szCs w:val="20"/>
              </w:rPr>
              <w:t>14</w:t>
            </w:r>
            <w:proofErr w:type="spellEnd"/>
            <w:r w:rsidRPr="10BD5DD1">
              <w:rPr>
                <w:rFonts w:cs="Arial"/>
                <w:sz w:val="20"/>
                <w:szCs w:val="20"/>
              </w:rPr>
              <w:t>: How can specialist health services, clinicians, and local practitioners contribute to safeguarding processes, including meetings, in a way that is proportionate and effective?</w:t>
            </w:r>
          </w:p>
        </w:tc>
        <w:tc>
          <w:tcPr>
            <w:tcW w:w="3119" w:type="dxa"/>
            <w:vMerge/>
          </w:tcPr>
          <w:p w14:paraId="10FEAE83" w14:textId="77777777" w:rsidR="002F3B48" w:rsidRPr="007C04DB" w:rsidRDefault="002F3B48" w:rsidP="00345E09">
            <w:pPr>
              <w:spacing w:line="259" w:lineRule="auto"/>
              <w:rPr>
                <w:rFonts w:cs="Arial"/>
                <w:bCs/>
                <w:sz w:val="20"/>
                <w:szCs w:val="20"/>
              </w:rPr>
            </w:pPr>
          </w:p>
        </w:tc>
      </w:tr>
      <w:tr w:rsidR="001166DA" w:rsidRPr="007C04DB" w14:paraId="6F2BF898" w14:textId="77777777" w:rsidTr="001166DA">
        <w:trPr>
          <w:trHeight w:val="624"/>
        </w:trPr>
        <w:tc>
          <w:tcPr>
            <w:tcW w:w="787" w:type="dxa"/>
            <w:vMerge w:val="restart"/>
          </w:tcPr>
          <w:p w14:paraId="05844CCA" w14:textId="77777777" w:rsidR="001166DA" w:rsidRPr="007C04DB" w:rsidRDefault="001166DA" w:rsidP="00345E09">
            <w:pPr>
              <w:numPr>
                <w:ilvl w:val="0"/>
                <w:numId w:val="13"/>
              </w:numPr>
              <w:spacing w:line="259" w:lineRule="auto"/>
              <w:ind w:left="31" w:right="178" w:firstLine="0"/>
              <w:rPr>
                <w:rFonts w:cs="Arial"/>
                <w:bCs/>
                <w:sz w:val="20"/>
                <w:szCs w:val="20"/>
              </w:rPr>
            </w:pPr>
          </w:p>
        </w:tc>
        <w:tc>
          <w:tcPr>
            <w:tcW w:w="3118" w:type="dxa"/>
            <w:vMerge w:val="restart"/>
          </w:tcPr>
          <w:p w14:paraId="3F829143" w14:textId="1191524C" w:rsidR="001166DA" w:rsidRPr="007C04DB" w:rsidRDefault="001166DA" w:rsidP="00345E09">
            <w:pPr>
              <w:spacing w:line="259" w:lineRule="auto"/>
              <w:rPr>
                <w:rFonts w:cs="Arial"/>
                <w:bCs/>
                <w:sz w:val="20"/>
                <w:szCs w:val="20"/>
              </w:rPr>
            </w:pPr>
            <w:r w:rsidRPr="007C04DB">
              <w:rPr>
                <w:sz w:val="20"/>
                <w:szCs w:val="20"/>
              </w:rPr>
              <w:t>Choice or ability to engage?</w:t>
            </w:r>
          </w:p>
        </w:tc>
        <w:tc>
          <w:tcPr>
            <w:tcW w:w="7010" w:type="dxa"/>
          </w:tcPr>
          <w:p w14:paraId="0F0B93CE" w14:textId="35E5297A" w:rsidR="001166DA" w:rsidRPr="007C04DB" w:rsidRDefault="001166DA" w:rsidP="001166DA">
            <w:pPr>
              <w:spacing w:line="259" w:lineRule="auto"/>
              <w:rPr>
                <w:rFonts w:cs="Arial"/>
                <w:sz w:val="20"/>
                <w:szCs w:val="20"/>
              </w:rPr>
            </w:pPr>
            <w:r w:rsidRPr="10BD5DD1">
              <w:rPr>
                <w:rFonts w:cs="Arial"/>
                <w:sz w:val="20"/>
                <w:szCs w:val="20"/>
              </w:rPr>
              <w:t xml:space="preserve">Finding 6, </w:t>
            </w:r>
            <w:proofErr w:type="spellStart"/>
            <w:r w:rsidRPr="10BD5DD1">
              <w:rPr>
                <w:rFonts w:cs="Arial"/>
                <w:sz w:val="20"/>
                <w:szCs w:val="20"/>
              </w:rPr>
              <w:t>Q</w:t>
            </w:r>
            <w:r w:rsidR="4CFACABD" w:rsidRPr="10BD5DD1">
              <w:rPr>
                <w:rFonts w:cs="Arial"/>
                <w:sz w:val="20"/>
                <w:szCs w:val="20"/>
              </w:rPr>
              <w:t>15</w:t>
            </w:r>
            <w:proofErr w:type="spellEnd"/>
            <w:r w:rsidRPr="10BD5DD1">
              <w:rPr>
                <w:rFonts w:cs="Arial"/>
                <w:sz w:val="20"/>
                <w:szCs w:val="20"/>
              </w:rPr>
              <w:t>: How can the Board raise the awareness of adult literacy issues and the consequences for engagement with services?</w:t>
            </w:r>
          </w:p>
        </w:tc>
        <w:tc>
          <w:tcPr>
            <w:tcW w:w="3119" w:type="dxa"/>
            <w:vMerge w:val="restart"/>
          </w:tcPr>
          <w:p w14:paraId="7B0AFA29" w14:textId="6BAC6A64" w:rsidR="007C04DB" w:rsidRPr="007C04DB" w:rsidRDefault="00603BD1" w:rsidP="001166DA">
            <w:pPr>
              <w:pStyle w:val="ListParagraph"/>
              <w:numPr>
                <w:ilvl w:val="0"/>
                <w:numId w:val="34"/>
              </w:numPr>
              <w:spacing w:line="259" w:lineRule="auto"/>
              <w:ind w:left="172" w:hanging="172"/>
              <w:rPr>
                <w:bCs/>
                <w:sz w:val="20"/>
                <w:szCs w:val="20"/>
                <w:lang w:val="en-GB"/>
              </w:rPr>
            </w:pPr>
            <w:r>
              <w:rPr>
                <w:bCs/>
                <w:sz w:val="20"/>
                <w:szCs w:val="20"/>
                <w:lang w:val="en-GB"/>
              </w:rPr>
              <w:t>Practitioner survey / feedback on events</w:t>
            </w:r>
          </w:p>
        </w:tc>
      </w:tr>
      <w:tr w:rsidR="001166DA" w:rsidRPr="007C04DB" w14:paraId="1326CBA1" w14:textId="77777777" w:rsidTr="001166DA">
        <w:trPr>
          <w:trHeight w:val="624"/>
        </w:trPr>
        <w:tc>
          <w:tcPr>
            <w:tcW w:w="787" w:type="dxa"/>
            <w:vMerge/>
          </w:tcPr>
          <w:p w14:paraId="7EA7FCA2" w14:textId="77777777" w:rsidR="001166DA" w:rsidRPr="007C04DB" w:rsidRDefault="001166DA" w:rsidP="00345E09">
            <w:pPr>
              <w:numPr>
                <w:ilvl w:val="0"/>
                <w:numId w:val="13"/>
              </w:numPr>
              <w:spacing w:line="259" w:lineRule="auto"/>
              <w:ind w:left="31" w:right="178" w:firstLine="0"/>
              <w:rPr>
                <w:rFonts w:cs="Arial"/>
                <w:bCs/>
                <w:sz w:val="20"/>
                <w:szCs w:val="20"/>
              </w:rPr>
            </w:pPr>
          </w:p>
        </w:tc>
        <w:tc>
          <w:tcPr>
            <w:tcW w:w="3118" w:type="dxa"/>
            <w:vMerge/>
          </w:tcPr>
          <w:p w14:paraId="0D93DB73" w14:textId="77777777" w:rsidR="001166DA" w:rsidRPr="007C04DB" w:rsidRDefault="001166DA" w:rsidP="00345E09">
            <w:pPr>
              <w:spacing w:line="259" w:lineRule="auto"/>
              <w:rPr>
                <w:sz w:val="20"/>
                <w:szCs w:val="20"/>
              </w:rPr>
            </w:pPr>
          </w:p>
        </w:tc>
        <w:tc>
          <w:tcPr>
            <w:tcW w:w="7010" w:type="dxa"/>
          </w:tcPr>
          <w:p w14:paraId="7C568358" w14:textId="3D2E2DDD" w:rsidR="001166DA" w:rsidRPr="007C04DB" w:rsidRDefault="001166DA" w:rsidP="001166DA">
            <w:pPr>
              <w:spacing w:line="259" w:lineRule="auto"/>
              <w:rPr>
                <w:rFonts w:cs="Arial"/>
                <w:sz w:val="20"/>
                <w:szCs w:val="20"/>
              </w:rPr>
            </w:pPr>
            <w:r w:rsidRPr="10BD5DD1">
              <w:rPr>
                <w:rFonts w:cs="Arial"/>
                <w:sz w:val="20"/>
                <w:szCs w:val="20"/>
              </w:rPr>
              <w:t xml:space="preserve">Finding 6, </w:t>
            </w:r>
            <w:proofErr w:type="spellStart"/>
            <w:r w:rsidRPr="10BD5DD1">
              <w:rPr>
                <w:rFonts w:cs="Arial"/>
                <w:sz w:val="20"/>
                <w:szCs w:val="20"/>
              </w:rPr>
              <w:t>Q</w:t>
            </w:r>
            <w:r w:rsidR="182ABB9C" w:rsidRPr="10BD5DD1">
              <w:rPr>
                <w:rFonts w:cs="Arial"/>
                <w:sz w:val="20"/>
                <w:szCs w:val="20"/>
              </w:rPr>
              <w:t>16</w:t>
            </w:r>
            <w:proofErr w:type="spellEnd"/>
            <w:r w:rsidRPr="10BD5DD1">
              <w:rPr>
                <w:rFonts w:cs="Arial"/>
                <w:sz w:val="20"/>
                <w:szCs w:val="20"/>
              </w:rPr>
              <w:t>: What support is available for adults with care and support needs to improve their literacy skills and support engagement skills, such as</w:t>
            </w:r>
            <w:r w:rsidR="00E33722" w:rsidRPr="10BD5DD1">
              <w:rPr>
                <w:rFonts w:cs="Arial"/>
                <w:sz w:val="20"/>
                <w:szCs w:val="20"/>
              </w:rPr>
              <w:t xml:space="preserve"> </w:t>
            </w:r>
            <w:r w:rsidRPr="10BD5DD1">
              <w:rPr>
                <w:rFonts w:cs="Arial"/>
                <w:sz w:val="20"/>
                <w:szCs w:val="20"/>
              </w:rPr>
              <w:t>diary and time management</w:t>
            </w:r>
            <w:r w:rsidR="00E33722" w:rsidRPr="10BD5DD1">
              <w:rPr>
                <w:rFonts w:cs="Arial"/>
                <w:sz w:val="20"/>
                <w:szCs w:val="20"/>
              </w:rPr>
              <w:t xml:space="preserve"> tools</w:t>
            </w:r>
            <w:r w:rsidRPr="10BD5DD1">
              <w:rPr>
                <w:rFonts w:cs="Arial"/>
                <w:sz w:val="20"/>
                <w:szCs w:val="20"/>
              </w:rPr>
              <w:t>?</w:t>
            </w:r>
            <w:r w:rsidR="00E33722" w:rsidRPr="10BD5DD1">
              <w:rPr>
                <w:rFonts w:cs="Arial"/>
                <w:sz w:val="20"/>
                <w:szCs w:val="20"/>
              </w:rPr>
              <w:t xml:space="preserve"> Does the Safeguarding Adults Board produce any easy-read materials about safeguarding?</w:t>
            </w:r>
          </w:p>
        </w:tc>
        <w:tc>
          <w:tcPr>
            <w:tcW w:w="3119" w:type="dxa"/>
            <w:vMerge/>
          </w:tcPr>
          <w:p w14:paraId="1DF9CC7E" w14:textId="77777777" w:rsidR="001166DA" w:rsidRPr="007C04DB" w:rsidRDefault="001166DA" w:rsidP="00345E09">
            <w:pPr>
              <w:spacing w:line="259" w:lineRule="auto"/>
              <w:rPr>
                <w:rFonts w:cs="Arial"/>
                <w:bCs/>
                <w:sz w:val="20"/>
                <w:szCs w:val="20"/>
              </w:rPr>
            </w:pPr>
          </w:p>
        </w:tc>
      </w:tr>
    </w:tbl>
    <w:p w14:paraId="4A94E511" w14:textId="77777777" w:rsidR="00CF4C5E" w:rsidRDefault="00CF4C5E" w:rsidP="007C2922">
      <w:pPr>
        <w:spacing w:after="160" w:line="259" w:lineRule="auto"/>
        <w:rPr>
          <w:bCs/>
        </w:rPr>
      </w:pPr>
    </w:p>
    <w:p w14:paraId="40891279" w14:textId="77777777" w:rsidR="00CF4C5E" w:rsidRDefault="00CF4C5E" w:rsidP="00CF4C5E">
      <w:pPr>
        <w:rPr>
          <w:bCs/>
        </w:rPr>
      </w:pPr>
    </w:p>
    <w:p w14:paraId="0574F5FA" w14:textId="77777777" w:rsidR="003260F6" w:rsidRDefault="003260F6" w:rsidP="00CF4C5E">
      <w:pPr>
        <w:sectPr w:rsidR="003260F6" w:rsidSect="00101893">
          <w:pgSz w:w="16838" w:h="11906" w:orient="landscape"/>
          <w:pgMar w:top="1440" w:right="1529" w:bottom="2268" w:left="1440" w:header="708" w:footer="1363" w:gutter="0"/>
          <w:cols w:space="708"/>
          <w:docGrid w:linePitch="360"/>
        </w:sectPr>
      </w:pPr>
    </w:p>
    <w:bookmarkStart w:id="36" w:name="_Toc165109333" w:displacedByCustomXml="next"/>
    <w:sdt>
      <w:sdtPr>
        <w:rPr>
          <w:rFonts w:eastAsiaTheme="minorEastAsia" w:cstheme="minorBidi"/>
          <w:caps w:val="0"/>
          <w:color w:val="auto"/>
          <w:sz w:val="22"/>
          <w:szCs w:val="22"/>
        </w:rPr>
        <w:id w:val="1003086619"/>
        <w:docPartObj>
          <w:docPartGallery w:val="Bibliographies"/>
          <w:docPartUnique/>
        </w:docPartObj>
      </w:sdtPr>
      <w:sdtEndPr/>
      <w:sdtContent>
        <w:p w14:paraId="77F58522" w14:textId="36B020BE" w:rsidR="003260F6" w:rsidRDefault="003260F6" w:rsidP="00094ACC">
          <w:pPr>
            <w:pStyle w:val="Heading1"/>
            <w:spacing w:before="240"/>
          </w:pPr>
          <w:r>
            <w:t>References</w:t>
          </w:r>
          <w:bookmarkEnd w:id="36"/>
        </w:p>
        <w:sdt>
          <w:sdtPr>
            <w:id w:val="-573587230"/>
            <w:bibliography/>
          </w:sdtPr>
          <w:sdtEndPr/>
          <w:sdtContent>
            <w:p w14:paraId="33F85DFA" w14:textId="77777777" w:rsidR="00094ACC" w:rsidRDefault="00F3124F" w:rsidP="00094ACC">
              <w:pPr>
                <w:pStyle w:val="Bibliography"/>
                <w:spacing w:before="240"/>
                <w:ind w:left="720" w:hanging="720"/>
                <w:rPr>
                  <w:noProof/>
                  <w:sz w:val="24"/>
                  <w:szCs w:val="24"/>
                </w:rPr>
              </w:pPr>
              <w:r>
                <w:fldChar w:fldCharType="begin"/>
              </w:r>
              <w:r>
                <w:instrText xml:space="preserve"> BIBLIOGRAPHY </w:instrText>
              </w:r>
              <w:r>
                <w:fldChar w:fldCharType="separate"/>
              </w:r>
              <w:r w:rsidR="00094ACC">
                <w:rPr>
                  <w:noProof/>
                </w:rPr>
                <w:t xml:space="preserve">Abumaria, I. M. (2020). </w:t>
              </w:r>
              <w:r w:rsidR="00094ACC">
                <w:rPr>
                  <w:i/>
                  <w:iCs/>
                  <w:noProof/>
                </w:rPr>
                <w:t>Self-Neglect: Causes and Risk Factors.</w:t>
              </w:r>
              <w:r w:rsidR="00094ACC">
                <w:rPr>
                  <w:noProof/>
                </w:rPr>
                <w:t xml:space="preserve"> </w:t>
              </w:r>
            </w:p>
            <w:p w14:paraId="5A3A1A55" w14:textId="77777777" w:rsidR="00094ACC" w:rsidRDefault="00094ACC" w:rsidP="00094ACC">
              <w:pPr>
                <w:pStyle w:val="Bibliography"/>
                <w:spacing w:before="240"/>
                <w:ind w:left="720" w:hanging="720"/>
                <w:rPr>
                  <w:noProof/>
                </w:rPr>
              </w:pPr>
              <w:r>
                <w:rPr>
                  <w:noProof/>
                </w:rPr>
                <w:t xml:space="preserve">Alcohol Change UK. (2019). </w:t>
              </w:r>
              <w:r>
                <w:rPr>
                  <w:i/>
                  <w:iCs/>
                  <w:noProof/>
                </w:rPr>
                <w:t>Learning from tragedies: an analysis of alcohol-related Safeguarding Adult Reviews in 2017.</w:t>
              </w:r>
              <w:r>
                <w:rPr>
                  <w:noProof/>
                </w:rPr>
                <w:t xml:space="preserve"> London: Alcohol Change UK.</w:t>
              </w:r>
            </w:p>
            <w:p w14:paraId="021118E8" w14:textId="77777777" w:rsidR="00094ACC" w:rsidRDefault="00094ACC" w:rsidP="00094ACC">
              <w:pPr>
                <w:pStyle w:val="Bibliography"/>
                <w:spacing w:before="240"/>
                <w:ind w:left="720" w:hanging="720"/>
                <w:rPr>
                  <w:noProof/>
                </w:rPr>
              </w:pPr>
              <w:r>
                <w:rPr>
                  <w:noProof/>
                </w:rPr>
                <w:t xml:space="preserve">Alcohol Change UK: Ward, M &amp; Holmes, M. (2023). </w:t>
              </w:r>
              <w:r>
                <w:rPr>
                  <w:i/>
                  <w:iCs/>
                  <w:noProof/>
                </w:rPr>
                <w:t>Alcohol Assertive Outreach: a handbook.</w:t>
              </w:r>
              <w:r>
                <w:rPr>
                  <w:noProof/>
                </w:rPr>
                <w:t xml:space="preserve"> London: Alcohol Change UK.</w:t>
              </w:r>
            </w:p>
            <w:p w14:paraId="64F53094" w14:textId="77777777" w:rsidR="00094ACC" w:rsidRDefault="00094ACC" w:rsidP="00094ACC">
              <w:pPr>
                <w:pStyle w:val="Bibliography"/>
                <w:spacing w:before="240"/>
                <w:ind w:left="720" w:hanging="720"/>
                <w:rPr>
                  <w:noProof/>
                </w:rPr>
              </w:pPr>
              <w:r>
                <w:rPr>
                  <w:noProof/>
                </w:rPr>
                <w:t xml:space="preserve">DHSC. (2023). </w:t>
              </w:r>
              <w:r>
                <w:rPr>
                  <w:i/>
                  <w:iCs/>
                  <w:noProof/>
                </w:rPr>
                <w:t>Care and Support Statutory Guidance (updated 1 June 2023).</w:t>
              </w:r>
              <w:r>
                <w:rPr>
                  <w:noProof/>
                </w:rPr>
                <w:t xml:space="preserve"> London: TSO.</w:t>
              </w:r>
            </w:p>
            <w:p w14:paraId="2D5595BB" w14:textId="77777777" w:rsidR="00094ACC" w:rsidRDefault="00094ACC" w:rsidP="00094ACC">
              <w:pPr>
                <w:pStyle w:val="Bibliography"/>
                <w:spacing w:before="240"/>
                <w:ind w:left="720" w:hanging="720"/>
                <w:rPr>
                  <w:noProof/>
                </w:rPr>
              </w:pPr>
              <w:r>
                <w:rPr>
                  <w:noProof/>
                </w:rPr>
                <w:t xml:space="preserve">Fish, S., Munro, E., &amp; Bairstow, S. (2009). </w:t>
              </w:r>
              <w:r>
                <w:rPr>
                  <w:i/>
                  <w:iCs/>
                  <w:noProof/>
                </w:rPr>
                <w:t>Learning together to safeguard children: developing a multi-agency system approach for case reviews.</w:t>
              </w:r>
              <w:r>
                <w:rPr>
                  <w:noProof/>
                </w:rPr>
                <w:t xml:space="preserve"> London: Social Care Institute for Excellence.</w:t>
              </w:r>
            </w:p>
            <w:p w14:paraId="475DE9FF" w14:textId="77777777" w:rsidR="00094ACC" w:rsidRDefault="00094ACC" w:rsidP="00094ACC">
              <w:pPr>
                <w:pStyle w:val="Bibliography"/>
                <w:spacing w:before="240"/>
                <w:ind w:left="720" w:hanging="720"/>
                <w:rPr>
                  <w:noProof/>
                </w:rPr>
              </w:pPr>
              <w:r>
                <w:rPr>
                  <w:noProof/>
                </w:rPr>
                <w:t xml:space="preserve">HM Government. (2018). </w:t>
              </w:r>
              <w:r>
                <w:rPr>
                  <w:i/>
                  <w:iCs/>
                  <w:noProof/>
                </w:rPr>
                <w:t>Information Sharing: Advice for practitioners providing safeguarding services to children, young people, parents, and carers.</w:t>
              </w:r>
              <w:r>
                <w:rPr>
                  <w:noProof/>
                </w:rPr>
                <w:t xml:space="preserve"> London: HM Government.</w:t>
              </w:r>
            </w:p>
            <w:p w14:paraId="78E6A4EA" w14:textId="77777777" w:rsidR="00094ACC" w:rsidRDefault="00094ACC" w:rsidP="00094ACC">
              <w:pPr>
                <w:pStyle w:val="Bibliography"/>
                <w:spacing w:before="240"/>
                <w:ind w:left="720" w:hanging="720"/>
                <w:rPr>
                  <w:noProof/>
                </w:rPr>
              </w:pPr>
              <w:r>
                <w:rPr>
                  <w:noProof/>
                </w:rPr>
                <w:t xml:space="preserve">Hughes, N. R., Houghton, N., Nadeem, H., Bell, J., McDonald, S., Glynn, N., . . . Dalton, D. (2013). Salford alcohol assertive outreach team: a new model for reducing alcohol-related admissions. </w:t>
              </w:r>
              <w:r>
                <w:rPr>
                  <w:i/>
                  <w:iCs/>
                  <w:noProof/>
                </w:rPr>
                <w:t>Frontline Gastroenterol, 4</w:t>
              </w:r>
              <w:r>
                <w:rPr>
                  <w:noProof/>
                </w:rPr>
                <w:t>(2), 130-134. doi:10.1136/flgastro-2012-100260</w:t>
              </w:r>
            </w:p>
            <w:p w14:paraId="43519793" w14:textId="77777777" w:rsidR="00094ACC" w:rsidRDefault="00094ACC" w:rsidP="00094ACC">
              <w:pPr>
                <w:pStyle w:val="Bibliography"/>
                <w:spacing w:before="240"/>
                <w:ind w:left="720" w:hanging="720"/>
                <w:rPr>
                  <w:noProof/>
                </w:rPr>
              </w:pPr>
              <w:r>
                <w:rPr>
                  <w:noProof/>
                </w:rPr>
                <w:t xml:space="preserve">Kent, A., &amp; Burns, T. (2005). Assertive community treatment in UK practice: Revisiting… Setting up an Assertive Community Treatment Team. </w:t>
              </w:r>
              <w:r>
                <w:rPr>
                  <w:i/>
                  <w:iCs/>
                  <w:noProof/>
                </w:rPr>
                <w:t>Advances in Psychiatric Treatment, 11</w:t>
              </w:r>
              <w:r>
                <w:rPr>
                  <w:noProof/>
                </w:rPr>
                <w:t>(6), 388-397. doi:10.1192/apt.11.6.388</w:t>
              </w:r>
            </w:p>
            <w:p w14:paraId="2C30B1E7" w14:textId="77777777" w:rsidR="00094ACC" w:rsidRDefault="00094ACC" w:rsidP="00094ACC">
              <w:pPr>
                <w:pStyle w:val="Bibliography"/>
                <w:spacing w:before="240"/>
                <w:ind w:left="720" w:hanging="720"/>
                <w:rPr>
                  <w:noProof/>
                </w:rPr>
              </w:pPr>
              <w:r>
                <w:rPr>
                  <w:noProof/>
                </w:rPr>
                <w:t>Literacy Trust. (2023). Retrieved from National Literacy Trust: https://literacytrust.org.uk/</w:t>
              </w:r>
            </w:p>
            <w:p w14:paraId="6325BA0A" w14:textId="77777777" w:rsidR="00094ACC" w:rsidRDefault="00094ACC" w:rsidP="00094ACC">
              <w:pPr>
                <w:pStyle w:val="Bibliography"/>
                <w:spacing w:before="240"/>
                <w:ind w:left="720" w:hanging="720"/>
                <w:rPr>
                  <w:noProof/>
                </w:rPr>
              </w:pPr>
              <w:r>
                <w:rPr>
                  <w:noProof/>
                </w:rPr>
                <w:t xml:space="preserve">NHS. (1999). </w:t>
              </w:r>
              <w:r>
                <w:rPr>
                  <w:i/>
                  <w:iCs/>
                  <w:noProof/>
                </w:rPr>
                <w:t>National Service Framework for mental Health.</w:t>
              </w:r>
              <w:r>
                <w:rPr>
                  <w:noProof/>
                </w:rPr>
                <w:t xml:space="preserve"> London: NHS.</w:t>
              </w:r>
            </w:p>
            <w:p w14:paraId="395F0AA5" w14:textId="77777777" w:rsidR="00094ACC" w:rsidRDefault="00094ACC" w:rsidP="00094ACC">
              <w:pPr>
                <w:pStyle w:val="Bibliography"/>
                <w:spacing w:before="240"/>
                <w:ind w:left="720" w:hanging="720"/>
                <w:rPr>
                  <w:noProof/>
                </w:rPr>
              </w:pPr>
              <w:r>
                <w:rPr>
                  <w:noProof/>
                </w:rPr>
                <w:t xml:space="preserve">NHS Digital. (2023). </w:t>
              </w:r>
              <w:r>
                <w:rPr>
                  <w:i/>
                  <w:iCs/>
                  <w:noProof/>
                </w:rPr>
                <w:t>Safeguarding Adults, England 2022-23.</w:t>
              </w:r>
              <w:r>
                <w:rPr>
                  <w:noProof/>
                </w:rPr>
                <w:t xml:space="preserve"> NHS Digital.</w:t>
              </w:r>
            </w:p>
            <w:p w14:paraId="0E281CD5" w14:textId="77777777" w:rsidR="00094ACC" w:rsidRDefault="00094ACC" w:rsidP="00094ACC">
              <w:pPr>
                <w:pStyle w:val="Bibliography"/>
                <w:spacing w:before="240"/>
                <w:ind w:left="720" w:hanging="720"/>
                <w:rPr>
                  <w:noProof/>
                </w:rPr>
              </w:pPr>
              <w:r>
                <w:rPr>
                  <w:noProof/>
                </w:rPr>
                <w:t xml:space="preserve">Preston-Shoot, M. (2018). Learning from safeguarding adult reviews on self-neglect: addressing the challenge of change. </w:t>
              </w:r>
              <w:r>
                <w:rPr>
                  <w:i/>
                  <w:iCs/>
                  <w:noProof/>
                </w:rPr>
                <w:t>Journal of Adult Protection, 20</w:t>
              </w:r>
              <w:r>
                <w:rPr>
                  <w:noProof/>
                </w:rPr>
                <w:t>(2), 78-92. doi:10.1108/JAP-01-2018-0001</w:t>
              </w:r>
            </w:p>
            <w:p w14:paraId="33E6D665" w14:textId="77777777" w:rsidR="00094ACC" w:rsidRDefault="00094ACC" w:rsidP="00094ACC">
              <w:pPr>
                <w:pStyle w:val="Bibliography"/>
                <w:spacing w:before="240"/>
                <w:ind w:left="720" w:hanging="720"/>
                <w:rPr>
                  <w:noProof/>
                </w:rPr>
              </w:pPr>
              <w:r>
                <w:rPr>
                  <w:noProof/>
                </w:rPr>
                <w:t xml:space="preserve">Preston-Shoot, M., Braye, S., Preston, O., Allen, K., &amp; Spreadbury, K. (2020). </w:t>
              </w:r>
              <w:r>
                <w:rPr>
                  <w:i/>
                  <w:iCs/>
                  <w:noProof/>
                </w:rPr>
                <w:t>Analysis of Safeguarding Adult Reviews April 2017 - March 2019; Findings for sector-led improvement.</w:t>
              </w:r>
              <w:r>
                <w:rPr>
                  <w:noProof/>
                </w:rPr>
                <w:t xml:space="preserve"> London: Local Government Association.</w:t>
              </w:r>
            </w:p>
            <w:p w14:paraId="39BBB151" w14:textId="77777777" w:rsidR="00094ACC" w:rsidRDefault="00094ACC" w:rsidP="00094ACC">
              <w:pPr>
                <w:pStyle w:val="Bibliography"/>
                <w:spacing w:before="240"/>
                <w:ind w:left="720" w:hanging="720"/>
                <w:rPr>
                  <w:noProof/>
                </w:rPr>
              </w:pPr>
              <w:r>
                <w:rPr>
                  <w:noProof/>
                </w:rPr>
                <w:t xml:space="preserve">SCIE. (2018). </w:t>
              </w:r>
              <w:r>
                <w:rPr>
                  <w:i/>
                  <w:iCs/>
                  <w:noProof/>
                </w:rPr>
                <w:t>Self-neglect at a glance.</w:t>
              </w:r>
              <w:r>
                <w:rPr>
                  <w:noProof/>
                </w:rPr>
                <w:t xml:space="preserve"> London: Social Care institute for Excellence.</w:t>
              </w:r>
            </w:p>
            <w:p w14:paraId="708E34FC" w14:textId="77777777" w:rsidR="00094ACC" w:rsidRDefault="00094ACC" w:rsidP="00094ACC">
              <w:pPr>
                <w:pStyle w:val="Bibliography"/>
                <w:spacing w:before="240"/>
                <w:ind w:left="720" w:hanging="720"/>
                <w:rPr>
                  <w:noProof/>
                </w:rPr>
              </w:pPr>
              <w:r>
                <w:rPr>
                  <w:noProof/>
                </w:rPr>
                <w:t xml:space="preserve">SSAB. (2023). </w:t>
              </w:r>
              <w:r>
                <w:rPr>
                  <w:i/>
                  <w:iCs/>
                  <w:noProof/>
                </w:rPr>
                <w:t>Self-neglect</w:t>
              </w:r>
              <w:r>
                <w:rPr>
                  <w:noProof/>
                </w:rPr>
                <w:t>. Retrieved from Salford Safeguarding Adults Board: https://safeguardingadults.salford.gov.uk/professionals/self-neglect/</w:t>
              </w:r>
            </w:p>
            <w:p w14:paraId="21017013" w14:textId="5F24D6B3" w:rsidR="003260F6" w:rsidRDefault="00F3124F" w:rsidP="00094ACC">
              <w:pPr>
                <w:pStyle w:val="Bibliography"/>
                <w:spacing w:before="240" w:after="240"/>
              </w:pPr>
              <w:r>
                <w:fldChar w:fldCharType="end"/>
              </w:r>
            </w:p>
          </w:sdtContent>
        </w:sdt>
      </w:sdtContent>
    </w:sdt>
    <w:p w14:paraId="58952BEE" w14:textId="7CB1C887" w:rsidR="00CF4C5E" w:rsidRPr="00CF4C5E" w:rsidRDefault="00CF4C5E" w:rsidP="00CF4C5E"/>
    <w:sectPr w:rsidR="00CF4C5E" w:rsidRPr="00CF4C5E" w:rsidSect="00101893">
      <w:pgSz w:w="11906" w:h="16838"/>
      <w:pgMar w:top="1440" w:right="1440" w:bottom="0" w:left="99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6F76D" w14:textId="77777777" w:rsidR="00E81EEB" w:rsidRDefault="00E81EEB" w:rsidP="00B7607B">
      <w:pPr>
        <w:spacing w:line="240" w:lineRule="auto"/>
      </w:pPr>
      <w:r>
        <w:separator/>
      </w:r>
    </w:p>
  </w:endnote>
  <w:endnote w:type="continuationSeparator" w:id="0">
    <w:p w14:paraId="0B556389" w14:textId="77777777" w:rsidR="00E81EEB" w:rsidRDefault="00E81EEB" w:rsidP="00B7607B">
      <w:pPr>
        <w:spacing w:line="240" w:lineRule="auto"/>
      </w:pPr>
      <w:r>
        <w:continuationSeparator/>
      </w:r>
    </w:p>
  </w:endnote>
  <w:endnote w:type="continuationNotice" w:id="1">
    <w:p w14:paraId="317F92E6" w14:textId="77777777" w:rsidR="00E81EEB" w:rsidRDefault="00E81EE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auto"/>
        <w:sz w:val="22"/>
      </w:rPr>
      <w:id w:val="-1391804365"/>
      <w:docPartObj>
        <w:docPartGallery w:val="Page Numbers (Bottom of Page)"/>
        <w:docPartUnique/>
      </w:docPartObj>
    </w:sdtPr>
    <w:sdtEndPr/>
    <w:sdtContent>
      <w:sdt>
        <w:sdtPr>
          <w:rPr>
            <w:color w:val="auto"/>
            <w:sz w:val="22"/>
          </w:rPr>
          <w:id w:val="-1769616900"/>
          <w:docPartObj>
            <w:docPartGallery w:val="Page Numbers (Top of Page)"/>
            <w:docPartUnique/>
          </w:docPartObj>
        </w:sdtPr>
        <w:sdtEndPr/>
        <w:sdtContent>
          <w:p w14:paraId="19427F7E" w14:textId="6E84B387" w:rsidR="006F2115" w:rsidRDefault="006F2115" w:rsidP="006F2115">
            <w:pPr>
              <w:pStyle w:val="Footerfirst"/>
            </w:pPr>
          </w:p>
          <w:p w14:paraId="0336BD38" w14:textId="4AB2EDA3" w:rsidR="00A2674A" w:rsidRDefault="004E4994" w:rsidP="00F51CF5">
            <w:pPr>
              <w:pStyle w:val="Footerfirst"/>
            </w:pPr>
            <w:r w:rsidRPr="004E4994">
              <w:t xml:space="preserve">SAR Salford </w:t>
            </w:r>
            <w:r w:rsidR="00563C51">
              <w:t>Francis</w:t>
            </w:r>
            <w:r w:rsidRPr="004E4994">
              <w:t xml:space="preserve"> Final Report </w:t>
            </w:r>
            <w:r w:rsidR="0074127F">
              <w:t>April 2024</w:t>
            </w:r>
          </w:p>
          <w:p w14:paraId="540C4A28" w14:textId="64D7C261" w:rsidR="003D65DB" w:rsidRDefault="00B7607B" w:rsidP="002007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F5CBE">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F5CBE">
              <w:rPr>
                <w:b/>
                <w:bCs/>
                <w:noProof/>
              </w:rPr>
              <w:t>4</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E2BA9" w14:textId="0D96D844" w:rsidR="00A2674A" w:rsidRDefault="00A2674A" w:rsidP="00A2674A">
    <w:pPr>
      <w:pStyle w:val="Footerfirst"/>
      <w:rPr>
        <w:rStyle w:val="SubtleReference"/>
      </w:rPr>
    </w:pPr>
  </w:p>
  <w:p w14:paraId="3515DAA7" w14:textId="7BAF3055" w:rsidR="00A2674A" w:rsidRDefault="00A2674A" w:rsidP="00A2674A">
    <w:pPr>
      <w:pStyle w:val="Footerfirst"/>
      <w:rPr>
        <w:rStyle w:val="SubtleReference"/>
        <w:b w:val="0"/>
      </w:rPr>
    </w:pPr>
    <w:r w:rsidRPr="006343C5">
      <w:rPr>
        <w:rStyle w:val="SubtleReference"/>
      </w:rPr>
      <w:t>Smith &amp; Smith Associates Ltd.</w:t>
    </w:r>
  </w:p>
  <w:p w14:paraId="65966F11" w14:textId="2071494D" w:rsidR="00A2674A" w:rsidRDefault="00A26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AE863" w14:textId="77777777" w:rsidR="00E81EEB" w:rsidRDefault="00E81EEB" w:rsidP="00B7607B">
      <w:pPr>
        <w:spacing w:line="240" w:lineRule="auto"/>
      </w:pPr>
      <w:r>
        <w:separator/>
      </w:r>
    </w:p>
  </w:footnote>
  <w:footnote w:type="continuationSeparator" w:id="0">
    <w:p w14:paraId="3D9793F9" w14:textId="77777777" w:rsidR="00E81EEB" w:rsidRDefault="00E81EEB" w:rsidP="00B7607B">
      <w:pPr>
        <w:spacing w:line="240" w:lineRule="auto"/>
      </w:pPr>
      <w:r>
        <w:continuationSeparator/>
      </w:r>
    </w:p>
  </w:footnote>
  <w:footnote w:type="continuationNotice" w:id="1">
    <w:p w14:paraId="5BDB0787" w14:textId="77777777" w:rsidR="00E81EEB" w:rsidRDefault="00E81EEB">
      <w:pPr>
        <w:spacing w:line="240" w:lineRule="auto"/>
      </w:pPr>
    </w:p>
  </w:footnote>
  <w:footnote w:id="2">
    <w:p w14:paraId="7F9D1389" w14:textId="30FD3E3D" w:rsidR="00A627F4" w:rsidRDefault="00A627F4">
      <w:pPr>
        <w:pStyle w:val="FootnoteText"/>
      </w:pPr>
      <w:r>
        <w:rPr>
          <w:rStyle w:val="FootnoteReference"/>
        </w:rPr>
        <w:footnoteRef/>
      </w:r>
      <w:r>
        <w:t xml:space="preserve"> Taken from: S</w:t>
      </w:r>
      <w:r w:rsidRPr="00A627F4">
        <w:t xml:space="preserve">SAB. (2023). Self-neglect. Retrieved from Salford Safeguarding Adults Board: </w:t>
      </w:r>
      <w:hyperlink r:id="rId1" w:history="1">
        <w:r w:rsidRPr="00DF4140">
          <w:rPr>
            <w:rStyle w:val="Hyperlink"/>
          </w:rPr>
          <w:t>https://safeguardingadults.salford.gov.uk/professionals/self-neglect/</w:t>
        </w:r>
      </w:hyperlink>
    </w:p>
    <w:p w14:paraId="29DED010" w14:textId="77777777" w:rsidR="00A627F4" w:rsidRDefault="00A627F4">
      <w:pPr>
        <w:pStyle w:val="FootnoteText"/>
      </w:pPr>
    </w:p>
  </w:footnote>
  <w:footnote w:id="3">
    <w:p w14:paraId="5A62C5D9" w14:textId="208C8AD9" w:rsidR="00170224" w:rsidRDefault="00170224">
      <w:pPr>
        <w:pStyle w:val="FootnoteText"/>
      </w:pPr>
      <w:r>
        <w:rPr>
          <w:rStyle w:val="FootnoteReference"/>
        </w:rPr>
        <w:footnoteRef/>
      </w:r>
      <w:r>
        <w:t xml:space="preserve"> </w:t>
      </w:r>
      <w:hyperlink r:id="rId2" w:history="1">
        <w:r w:rsidR="0098102A" w:rsidRPr="00A01BF7">
          <w:rPr>
            <w:rStyle w:val="Hyperlink"/>
          </w:rPr>
          <w:t>https://safeguardingadults.salford.gov.uk/professionals/self-neglect/</w:t>
        </w:r>
      </w:hyperlink>
    </w:p>
    <w:p w14:paraId="494ED07E" w14:textId="77777777" w:rsidR="0098102A" w:rsidRDefault="0098102A">
      <w:pPr>
        <w:pStyle w:val="FootnoteText"/>
      </w:pPr>
    </w:p>
  </w:footnote>
  <w:footnote w:id="4">
    <w:p w14:paraId="743115A8" w14:textId="2B8CFA87" w:rsidR="00BB2E83" w:rsidRDefault="00B124EE" w:rsidP="00B124EE">
      <w:pPr>
        <w:pStyle w:val="FootnoteText"/>
      </w:pPr>
      <w:r>
        <w:rPr>
          <w:rStyle w:val="FootnoteReference"/>
        </w:rPr>
        <w:footnoteRef/>
      </w:r>
      <w:r>
        <w:t xml:space="preserve"> Nb. The HM Government Advice document is not statutory guidance.</w:t>
      </w:r>
    </w:p>
  </w:footnote>
  <w:footnote w:id="5">
    <w:p w14:paraId="232C9299" w14:textId="278AAA86" w:rsidR="00826C16" w:rsidRDefault="00826C16">
      <w:pPr>
        <w:pStyle w:val="FootnoteText"/>
      </w:pPr>
      <w:r>
        <w:rPr>
          <w:rStyle w:val="FootnoteReference"/>
        </w:rPr>
        <w:footnoteRef/>
      </w:r>
      <w:r>
        <w:t xml:space="preserve"> </w:t>
      </w:r>
      <w:hyperlink r:id="rId3" w:history="1">
        <w:r w:rsidRPr="00DF4140">
          <w:rPr>
            <w:rStyle w:val="Hyperlink"/>
          </w:rPr>
          <w:t>https://safeguardingadults.salford.gov.uk/professionals/information-sharing-and-confidentiality/</w:t>
        </w:r>
      </w:hyperlink>
    </w:p>
    <w:p w14:paraId="15F2E7DC" w14:textId="77777777" w:rsidR="00826C16" w:rsidRDefault="00826C16">
      <w:pPr>
        <w:pStyle w:val="FootnoteText"/>
      </w:pPr>
    </w:p>
  </w:footnote>
  <w:footnote w:id="6">
    <w:p w14:paraId="356E7A00" w14:textId="23C56BFC" w:rsidR="00696797" w:rsidRDefault="00696797">
      <w:pPr>
        <w:pStyle w:val="FootnoteText"/>
      </w:pPr>
      <w:r>
        <w:rPr>
          <w:rStyle w:val="FootnoteReference"/>
        </w:rPr>
        <w:footnoteRef/>
      </w:r>
      <w:r>
        <w:t xml:space="preserve"> For example, some district nursing teams, </w:t>
      </w:r>
      <w:r w:rsidR="002B544C">
        <w:t>domiciliary care providers, mental health crisis teams, or hospital wards, and residential settings.</w:t>
      </w:r>
    </w:p>
    <w:p w14:paraId="53D7325C" w14:textId="77777777" w:rsidR="00A05A66" w:rsidRDefault="00A05A6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F02A4" w14:textId="78C209F9" w:rsidR="008B637A" w:rsidRPr="004D1B49" w:rsidRDefault="00144022" w:rsidP="00144022">
    <w:pPr>
      <w:pStyle w:val="Header"/>
      <w:rPr>
        <w:b/>
        <w:bCs/>
      </w:rPr>
    </w:pPr>
    <w:r>
      <w:rPr>
        <w:b/>
        <w:bCs/>
      </w:rPr>
      <w:t xml:space="preserve">Approved and signed off </w:t>
    </w:r>
    <w:r w:rsidR="00503FEE">
      <w:rPr>
        <w:b/>
        <w:bCs/>
      </w:rPr>
      <w:t xml:space="preserve">by the </w:t>
    </w:r>
    <w:proofErr w:type="spellStart"/>
    <w:r w:rsidR="00503FEE">
      <w:rPr>
        <w:b/>
        <w:bCs/>
      </w:rPr>
      <w:t>SSAB</w:t>
    </w:r>
    <w:proofErr w:type="spellEnd"/>
    <w:r w:rsidR="00503FEE">
      <w:rPr>
        <w:b/>
        <w:bCs/>
      </w:rPr>
      <w:t xml:space="preserve"> </w:t>
    </w:r>
    <w:r>
      <w:rPr>
        <w:b/>
        <w:bCs/>
      </w:rPr>
      <w:t>on 31/05/2024</w:t>
    </w:r>
  </w:p>
  <w:p w14:paraId="66D9AD07" w14:textId="77777777" w:rsidR="003D65DB" w:rsidRDefault="003D65DB"/>
  <w:p w14:paraId="485E1DA1" w14:textId="77777777" w:rsidR="003D65DB" w:rsidRDefault="003D65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D85B5" w14:textId="6EF3695D" w:rsidR="00B7607B" w:rsidRDefault="00B7607B">
    <w:pPr>
      <w:pStyle w:val="Header"/>
    </w:pPr>
    <w:r w:rsidRPr="00B7607B">
      <w:rPr>
        <w:b/>
        <w:bCs/>
        <w:sz w:val="28"/>
        <w:szCs w:val="28"/>
      </w:rPr>
      <w:t>CONFIDENTIAL</w:t>
    </w:r>
    <w:r w:rsidR="00952AD4">
      <w:rPr>
        <w:b/>
        <w:bCs/>
        <w:sz w:val="28"/>
        <w:szCs w:val="28"/>
      </w:rPr>
      <w:tab/>
    </w:r>
    <w:r w:rsidR="00952AD4">
      <w:rPr>
        <w:b/>
        <w:bCs/>
        <w:sz w:val="28"/>
        <w:szCs w:val="28"/>
      </w:rPr>
      <w:tab/>
    </w:r>
    <w:r w:rsidR="00952AD4" w:rsidRPr="00952AD4">
      <w:rPr>
        <w:sz w:val="28"/>
        <w:szCs w:val="28"/>
      </w:rPr>
      <w:t>SAB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3E58"/>
    <w:multiLevelType w:val="multilevel"/>
    <w:tmpl w:val="4ADE9EE0"/>
    <w:lvl w:ilvl="0">
      <w:start w:val="1"/>
      <w:numFmt w:val="decimal"/>
      <w:lvlText w:val="%1."/>
      <w:lvlJc w:val="left"/>
      <w:pPr>
        <w:ind w:left="567" w:hanging="567"/>
      </w:pPr>
      <w:rPr>
        <w:rFonts w:ascii="Arial" w:hAnsi="Arial" w:cs="Times New Roman" w:hint="default"/>
        <w:b/>
        <w:bCs w:val="0"/>
        <w:i w:val="0"/>
        <w:iCs w:val="0"/>
        <w:caps w:val="0"/>
        <w:smallCaps w:val="0"/>
        <w:strike w:val="0"/>
        <w:dstrike w:val="0"/>
        <w:vanish w:val="0"/>
        <w:color w:val="0070C0"/>
        <w:spacing w:val="0"/>
        <w:kern w:val="0"/>
        <w:position w:val="0"/>
        <w:sz w:val="24"/>
        <w:szCs w:val="24"/>
        <w:u w:val="none"/>
        <w:effect w:val="none"/>
        <w:vertAlign w:val="baseline"/>
      </w:rPr>
    </w:lvl>
    <w:lvl w:ilvl="1">
      <w:start w:val="1"/>
      <w:numFmt w:val="decimal"/>
      <w:lvlText w:val="%1.%2."/>
      <w:lvlJc w:val="left"/>
      <w:pPr>
        <w:ind w:left="709" w:hanging="709"/>
      </w:pPr>
      <w:rPr>
        <w:rFonts w:ascii="Arial" w:hAnsi="Arial" w:cs="Times New Roman" w:hint="default"/>
        <w:i w:val="0"/>
        <w:color w:val="auto"/>
        <w:sz w:val="22"/>
      </w:rPr>
    </w:lvl>
    <w:lvl w:ilvl="2">
      <w:start w:val="1"/>
      <w:numFmt w:val="decimal"/>
      <w:lvlText w:val="%1.%2.%3."/>
      <w:lvlJc w:val="left"/>
      <w:pPr>
        <w:ind w:left="1559" w:hanging="850"/>
      </w:pPr>
      <w:rPr>
        <w:rFonts w:cs="Times New Roman" w:hint="default"/>
        <w:sz w:val="22"/>
      </w:rPr>
    </w:lvl>
    <w:lvl w:ilvl="3">
      <w:start w:val="1"/>
      <w:numFmt w:val="lowerLetter"/>
      <w:lvlText w:val="%4)"/>
      <w:lvlJc w:val="left"/>
      <w:pPr>
        <w:ind w:left="1134" w:hanging="56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0E6022B5"/>
    <w:multiLevelType w:val="hybridMultilevel"/>
    <w:tmpl w:val="6EB45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93764"/>
    <w:multiLevelType w:val="hybridMultilevel"/>
    <w:tmpl w:val="6D523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F7E1E"/>
    <w:multiLevelType w:val="hybridMultilevel"/>
    <w:tmpl w:val="35CEA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D6D34"/>
    <w:multiLevelType w:val="multilevel"/>
    <w:tmpl w:val="8BCC9A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DC13AD4"/>
    <w:multiLevelType w:val="hybridMultilevel"/>
    <w:tmpl w:val="A29A8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681E81"/>
    <w:multiLevelType w:val="hybridMultilevel"/>
    <w:tmpl w:val="378084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0313593"/>
    <w:multiLevelType w:val="hybridMultilevel"/>
    <w:tmpl w:val="EE500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B61F3"/>
    <w:multiLevelType w:val="hybridMultilevel"/>
    <w:tmpl w:val="C9B26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7B7F9B"/>
    <w:multiLevelType w:val="hybridMultilevel"/>
    <w:tmpl w:val="6598F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A30BE9"/>
    <w:multiLevelType w:val="hybridMultilevel"/>
    <w:tmpl w:val="35C2D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E77671"/>
    <w:multiLevelType w:val="hybridMultilevel"/>
    <w:tmpl w:val="2CA4F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A82599"/>
    <w:multiLevelType w:val="multilevel"/>
    <w:tmpl w:val="D3D2BF70"/>
    <w:lvl w:ilvl="0">
      <w:start w:val="1"/>
      <w:numFmt w:val="decimal"/>
      <w:lvlText w:val="%1."/>
      <w:lvlJc w:val="left"/>
      <w:pPr>
        <w:ind w:left="720" w:hanging="363"/>
      </w:pPr>
      <w:rPr>
        <w:rFonts w:hint="default"/>
      </w:rPr>
    </w:lvl>
    <w:lvl w:ilvl="1">
      <w:start w:val="1"/>
      <w:numFmt w:val="lowerLetter"/>
      <w:lvlText w:val="%1%2."/>
      <w:lvlJc w:val="left"/>
      <w:pPr>
        <w:ind w:left="72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3" w15:restartNumberingAfterBreak="0">
    <w:nsid w:val="413A179C"/>
    <w:multiLevelType w:val="hybridMultilevel"/>
    <w:tmpl w:val="230E466A"/>
    <w:lvl w:ilvl="0" w:tplc="CFF80A7E">
      <w:start w:val="1"/>
      <w:numFmt w:val="decimal"/>
      <w:lvlText w:val="%1."/>
      <w:lvlJc w:val="left"/>
      <w:pPr>
        <w:ind w:left="720" w:hanging="360"/>
      </w:pPr>
      <w:rPr>
        <w:rFonts w:eastAsia="Arial" w:cs="Arial" w:hint="default"/>
        <w:b w:val="0"/>
        <w:bCs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520FA3"/>
    <w:multiLevelType w:val="hybridMultilevel"/>
    <w:tmpl w:val="F7EA5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125CF6"/>
    <w:multiLevelType w:val="hybridMultilevel"/>
    <w:tmpl w:val="3AE4A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5D585F"/>
    <w:multiLevelType w:val="hybridMultilevel"/>
    <w:tmpl w:val="EE860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4C686B"/>
    <w:multiLevelType w:val="hybridMultilevel"/>
    <w:tmpl w:val="6866ACC0"/>
    <w:lvl w:ilvl="0" w:tplc="08090017">
      <w:start w:val="1"/>
      <w:numFmt w:val="lowerLetter"/>
      <w:lvlText w:val="%1)"/>
      <w:lvlJc w:val="left"/>
      <w:pPr>
        <w:ind w:left="720" w:hanging="360"/>
      </w:pPr>
      <w:rPr>
        <w:rFonts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D40F28"/>
    <w:multiLevelType w:val="hybridMultilevel"/>
    <w:tmpl w:val="5566B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C177DD"/>
    <w:multiLevelType w:val="hybridMultilevel"/>
    <w:tmpl w:val="5F7C9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4B313B"/>
    <w:multiLevelType w:val="hybridMultilevel"/>
    <w:tmpl w:val="CE981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23719C"/>
    <w:multiLevelType w:val="hybridMultilevel"/>
    <w:tmpl w:val="9E42C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26252A"/>
    <w:multiLevelType w:val="multilevel"/>
    <w:tmpl w:val="7ABE6422"/>
    <w:lvl w:ilvl="0">
      <w:start w:val="1"/>
      <w:numFmt w:val="decimal"/>
      <w:lvlText w:val="Finding 1, Q%1"/>
      <w:lvlJc w:val="left"/>
      <w:pPr>
        <w:ind w:left="720" w:hanging="360"/>
      </w:pPr>
      <w:rPr>
        <w:rFonts w:ascii="Arial" w:hAnsi="Arial" w:hint="default"/>
        <w:b/>
        <w:i w:val="0"/>
        <w:caps w:val="0"/>
        <w:strike w:val="0"/>
        <w:dstrike w:val="0"/>
        <w:vanish w:val="0"/>
        <w:sz w:val="22"/>
        <w:szCs w:val="20"/>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296282"/>
    <w:multiLevelType w:val="hybridMultilevel"/>
    <w:tmpl w:val="9C4CA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887BB2"/>
    <w:multiLevelType w:val="hybridMultilevel"/>
    <w:tmpl w:val="7166B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7E5A12"/>
    <w:multiLevelType w:val="hybridMultilevel"/>
    <w:tmpl w:val="644A0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1B6EE8"/>
    <w:multiLevelType w:val="hybridMultilevel"/>
    <w:tmpl w:val="19A8C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451118"/>
    <w:multiLevelType w:val="hybridMultilevel"/>
    <w:tmpl w:val="4AD2B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C814EC"/>
    <w:multiLevelType w:val="hybridMultilevel"/>
    <w:tmpl w:val="BEAA2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8F6F3A"/>
    <w:multiLevelType w:val="hybridMultilevel"/>
    <w:tmpl w:val="A1DAA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456FCD"/>
    <w:multiLevelType w:val="hybridMultilevel"/>
    <w:tmpl w:val="D6948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CD6C5E"/>
    <w:multiLevelType w:val="hybridMultilevel"/>
    <w:tmpl w:val="624C6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D31095"/>
    <w:multiLevelType w:val="hybridMultilevel"/>
    <w:tmpl w:val="9C5E61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9F14BF"/>
    <w:multiLevelType w:val="hybridMultilevel"/>
    <w:tmpl w:val="4DB0D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734963">
    <w:abstractNumId w:val="0"/>
  </w:num>
  <w:num w:numId="2" w16cid:durableId="633872876">
    <w:abstractNumId w:val="27"/>
  </w:num>
  <w:num w:numId="3" w16cid:durableId="845941753">
    <w:abstractNumId w:val="24"/>
  </w:num>
  <w:num w:numId="4" w16cid:durableId="1758289101">
    <w:abstractNumId w:val="18"/>
  </w:num>
  <w:num w:numId="5" w16cid:durableId="344139021">
    <w:abstractNumId w:val="32"/>
  </w:num>
  <w:num w:numId="6" w16cid:durableId="249435232">
    <w:abstractNumId w:val="25"/>
  </w:num>
  <w:num w:numId="7" w16cid:durableId="507715878">
    <w:abstractNumId w:val="8"/>
  </w:num>
  <w:num w:numId="8" w16cid:durableId="1469276900">
    <w:abstractNumId w:val="7"/>
  </w:num>
  <w:num w:numId="9" w16cid:durableId="1752193540">
    <w:abstractNumId w:val="3"/>
  </w:num>
  <w:num w:numId="10" w16cid:durableId="169148907">
    <w:abstractNumId w:val="4"/>
  </w:num>
  <w:num w:numId="11" w16cid:durableId="572617482">
    <w:abstractNumId w:val="13"/>
  </w:num>
  <w:num w:numId="12" w16cid:durableId="421337308">
    <w:abstractNumId w:val="26"/>
  </w:num>
  <w:num w:numId="13" w16cid:durableId="121460566">
    <w:abstractNumId w:val="12"/>
  </w:num>
  <w:num w:numId="14" w16cid:durableId="465974949">
    <w:abstractNumId w:val="29"/>
  </w:num>
  <w:num w:numId="15" w16cid:durableId="274138952">
    <w:abstractNumId w:val="33"/>
  </w:num>
  <w:num w:numId="16" w16cid:durableId="1536037660">
    <w:abstractNumId w:val="11"/>
  </w:num>
  <w:num w:numId="17" w16cid:durableId="1067613264">
    <w:abstractNumId w:val="30"/>
  </w:num>
  <w:num w:numId="18" w16cid:durableId="511914796">
    <w:abstractNumId w:val="23"/>
  </w:num>
  <w:num w:numId="19" w16cid:durableId="1615016772">
    <w:abstractNumId w:val="31"/>
  </w:num>
  <w:num w:numId="20" w16cid:durableId="1317148194">
    <w:abstractNumId w:val="21"/>
  </w:num>
  <w:num w:numId="21" w16cid:durableId="241763593">
    <w:abstractNumId w:val="19"/>
  </w:num>
  <w:num w:numId="22" w16cid:durableId="335306192">
    <w:abstractNumId w:val="17"/>
  </w:num>
  <w:num w:numId="23" w16cid:durableId="376390522">
    <w:abstractNumId w:val="5"/>
  </w:num>
  <w:num w:numId="24" w16cid:durableId="1190878553">
    <w:abstractNumId w:val="14"/>
  </w:num>
  <w:num w:numId="25" w16cid:durableId="804128665">
    <w:abstractNumId w:val="6"/>
  </w:num>
  <w:num w:numId="26" w16cid:durableId="1218783633">
    <w:abstractNumId w:val="22"/>
  </w:num>
  <w:num w:numId="27" w16cid:durableId="1550536737">
    <w:abstractNumId w:val="16"/>
  </w:num>
  <w:num w:numId="28" w16cid:durableId="2029135858">
    <w:abstractNumId w:val="9"/>
  </w:num>
  <w:num w:numId="29" w16cid:durableId="36273894">
    <w:abstractNumId w:val="2"/>
  </w:num>
  <w:num w:numId="30" w16cid:durableId="86271073">
    <w:abstractNumId w:val="10"/>
  </w:num>
  <w:num w:numId="31" w16cid:durableId="1345716295">
    <w:abstractNumId w:val="20"/>
  </w:num>
  <w:num w:numId="32" w16cid:durableId="1171217465">
    <w:abstractNumId w:val="15"/>
  </w:num>
  <w:num w:numId="33" w16cid:durableId="890581614">
    <w:abstractNumId w:val="28"/>
  </w:num>
  <w:num w:numId="34" w16cid:durableId="795489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8E7"/>
    <w:rsid w:val="000007EA"/>
    <w:rsid w:val="00001319"/>
    <w:rsid w:val="000035F0"/>
    <w:rsid w:val="00003B84"/>
    <w:rsid w:val="00004011"/>
    <w:rsid w:val="00005299"/>
    <w:rsid w:val="00005330"/>
    <w:rsid w:val="00010409"/>
    <w:rsid w:val="00010670"/>
    <w:rsid w:val="000118B0"/>
    <w:rsid w:val="00012096"/>
    <w:rsid w:val="00012BCD"/>
    <w:rsid w:val="00012CEA"/>
    <w:rsid w:val="00013E3B"/>
    <w:rsid w:val="00014CA3"/>
    <w:rsid w:val="000160A5"/>
    <w:rsid w:val="0001634C"/>
    <w:rsid w:val="00016FB9"/>
    <w:rsid w:val="00017727"/>
    <w:rsid w:val="0002038E"/>
    <w:rsid w:val="00020F49"/>
    <w:rsid w:val="000212ED"/>
    <w:rsid w:val="0002176F"/>
    <w:rsid w:val="000221D4"/>
    <w:rsid w:val="00022A20"/>
    <w:rsid w:val="00025375"/>
    <w:rsid w:val="00025A1A"/>
    <w:rsid w:val="00027E2F"/>
    <w:rsid w:val="0003039B"/>
    <w:rsid w:val="00030C2F"/>
    <w:rsid w:val="000313FB"/>
    <w:rsid w:val="00033053"/>
    <w:rsid w:val="000345F0"/>
    <w:rsid w:val="0003616D"/>
    <w:rsid w:val="00036DDD"/>
    <w:rsid w:val="00036F78"/>
    <w:rsid w:val="00037258"/>
    <w:rsid w:val="000375ED"/>
    <w:rsid w:val="00041D60"/>
    <w:rsid w:val="000428DA"/>
    <w:rsid w:val="00042F17"/>
    <w:rsid w:val="000436E3"/>
    <w:rsid w:val="00044DD6"/>
    <w:rsid w:val="0004611D"/>
    <w:rsid w:val="000462DA"/>
    <w:rsid w:val="000474DA"/>
    <w:rsid w:val="000537D2"/>
    <w:rsid w:val="0005389E"/>
    <w:rsid w:val="0005396B"/>
    <w:rsid w:val="00053F15"/>
    <w:rsid w:val="0005670F"/>
    <w:rsid w:val="0005798E"/>
    <w:rsid w:val="00062132"/>
    <w:rsid w:val="00062169"/>
    <w:rsid w:val="00063081"/>
    <w:rsid w:val="00065202"/>
    <w:rsid w:val="000665E7"/>
    <w:rsid w:val="0006768F"/>
    <w:rsid w:val="00067E22"/>
    <w:rsid w:val="00070C6E"/>
    <w:rsid w:val="000732B3"/>
    <w:rsid w:val="00073AA0"/>
    <w:rsid w:val="00073D0E"/>
    <w:rsid w:val="00075022"/>
    <w:rsid w:val="00076C95"/>
    <w:rsid w:val="00076C97"/>
    <w:rsid w:val="000776EA"/>
    <w:rsid w:val="00077D20"/>
    <w:rsid w:val="00080027"/>
    <w:rsid w:val="000802DA"/>
    <w:rsid w:val="00080A64"/>
    <w:rsid w:val="00080D6A"/>
    <w:rsid w:val="00081444"/>
    <w:rsid w:val="00081BF1"/>
    <w:rsid w:val="000837FE"/>
    <w:rsid w:val="00084657"/>
    <w:rsid w:val="000854D8"/>
    <w:rsid w:val="000863A0"/>
    <w:rsid w:val="0008770B"/>
    <w:rsid w:val="000923AA"/>
    <w:rsid w:val="00092F0D"/>
    <w:rsid w:val="000949F8"/>
    <w:rsid w:val="00094ACC"/>
    <w:rsid w:val="000A0418"/>
    <w:rsid w:val="000A0A63"/>
    <w:rsid w:val="000A45CF"/>
    <w:rsid w:val="000A509D"/>
    <w:rsid w:val="000A5F5F"/>
    <w:rsid w:val="000A6417"/>
    <w:rsid w:val="000A7429"/>
    <w:rsid w:val="000B0FEA"/>
    <w:rsid w:val="000B37AB"/>
    <w:rsid w:val="000B422B"/>
    <w:rsid w:val="000B6614"/>
    <w:rsid w:val="000B6C98"/>
    <w:rsid w:val="000C02ED"/>
    <w:rsid w:val="000C0861"/>
    <w:rsid w:val="000C0F9C"/>
    <w:rsid w:val="000C1C08"/>
    <w:rsid w:val="000C28CB"/>
    <w:rsid w:val="000C3C98"/>
    <w:rsid w:val="000C5444"/>
    <w:rsid w:val="000C587F"/>
    <w:rsid w:val="000C69D9"/>
    <w:rsid w:val="000D00D5"/>
    <w:rsid w:val="000D409D"/>
    <w:rsid w:val="000D4AC5"/>
    <w:rsid w:val="000D5DB6"/>
    <w:rsid w:val="000D6B1A"/>
    <w:rsid w:val="000D7DB0"/>
    <w:rsid w:val="000E16BD"/>
    <w:rsid w:val="000E3540"/>
    <w:rsid w:val="000E399A"/>
    <w:rsid w:val="000E5693"/>
    <w:rsid w:val="000E5712"/>
    <w:rsid w:val="000E5BC3"/>
    <w:rsid w:val="000E614D"/>
    <w:rsid w:val="000E61AB"/>
    <w:rsid w:val="000E6AAA"/>
    <w:rsid w:val="000E6E40"/>
    <w:rsid w:val="000F06B0"/>
    <w:rsid w:val="000F2B3A"/>
    <w:rsid w:val="000F2C59"/>
    <w:rsid w:val="000F3F49"/>
    <w:rsid w:val="000F5289"/>
    <w:rsid w:val="000F543B"/>
    <w:rsid w:val="00100B13"/>
    <w:rsid w:val="00100DA9"/>
    <w:rsid w:val="00101893"/>
    <w:rsid w:val="00101E4B"/>
    <w:rsid w:val="001034B0"/>
    <w:rsid w:val="001039FB"/>
    <w:rsid w:val="00103C38"/>
    <w:rsid w:val="00103EBC"/>
    <w:rsid w:val="00103FD0"/>
    <w:rsid w:val="00104782"/>
    <w:rsid w:val="00105F35"/>
    <w:rsid w:val="001072C7"/>
    <w:rsid w:val="00110BB9"/>
    <w:rsid w:val="00111485"/>
    <w:rsid w:val="00111F05"/>
    <w:rsid w:val="00114989"/>
    <w:rsid w:val="00115F19"/>
    <w:rsid w:val="001166DA"/>
    <w:rsid w:val="00117011"/>
    <w:rsid w:val="00120BF8"/>
    <w:rsid w:val="001222ED"/>
    <w:rsid w:val="001237C0"/>
    <w:rsid w:val="00123CC8"/>
    <w:rsid w:val="00127598"/>
    <w:rsid w:val="00127DB9"/>
    <w:rsid w:val="00127E21"/>
    <w:rsid w:val="0013012B"/>
    <w:rsid w:val="0013076E"/>
    <w:rsid w:val="00131731"/>
    <w:rsid w:val="00131FA4"/>
    <w:rsid w:val="00134BBE"/>
    <w:rsid w:val="00135055"/>
    <w:rsid w:val="001357E5"/>
    <w:rsid w:val="00141508"/>
    <w:rsid w:val="0014210C"/>
    <w:rsid w:val="00142FDA"/>
    <w:rsid w:val="001430A9"/>
    <w:rsid w:val="00144022"/>
    <w:rsid w:val="001472D0"/>
    <w:rsid w:val="0015334F"/>
    <w:rsid w:val="00153774"/>
    <w:rsid w:val="0015526A"/>
    <w:rsid w:val="00156D0D"/>
    <w:rsid w:val="00161E1D"/>
    <w:rsid w:val="001630C9"/>
    <w:rsid w:val="00163637"/>
    <w:rsid w:val="0016377E"/>
    <w:rsid w:val="001647F4"/>
    <w:rsid w:val="00165209"/>
    <w:rsid w:val="00165358"/>
    <w:rsid w:val="001662D3"/>
    <w:rsid w:val="001671CE"/>
    <w:rsid w:val="00167375"/>
    <w:rsid w:val="00167D4D"/>
    <w:rsid w:val="00170017"/>
    <w:rsid w:val="00170133"/>
    <w:rsid w:val="00170224"/>
    <w:rsid w:val="001704A3"/>
    <w:rsid w:val="00171D08"/>
    <w:rsid w:val="00172317"/>
    <w:rsid w:val="001727FA"/>
    <w:rsid w:val="00172D4C"/>
    <w:rsid w:val="001736C4"/>
    <w:rsid w:val="0017416C"/>
    <w:rsid w:val="00174191"/>
    <w:rsid w:val="0017466E"/>
    <w:rsid w:val="00174AEA"/>
    <w:rsid w:val="00177583"/>
    <w:rsid w:val="0017773D"/>
    <w:rsid w:val="001802D1"/>
    <w:rsid w:val="00180B46"/>
    <w:rsid w:val="00181FF3"/>
    <w:rsid w:val="00182808"/>
    <w:rsid w:val="00182C90"/>
    <w:rsid w:val="00184C0B"/>
    <w:rsid w:val="00185BA1"/>
    <w:rsid w:val="001863B9"/>
    <w:rsid w:val="001863EE"/>
    <w:rsid w:val="00186614"/>
    <w:rsid w:val="00186616"/>
    <w:rsid w:val="0018675B"/>
    <w:rsid w:val="001872EA"/>
    <w:rsid w:val="00190B5F"/>
    <w:rsid w:val="00190BA4"/>
    <w:rsid w:val="00193FB8"/>
    <w:rsid w:val="0019521D"/>
    <w:rsid w:val="00197287"/>
    <w:rsid w:val="0019741C"/>
    <w:rsid w:val="001A011F"/>
    <w:rsid w:val="001A0676"/>
    <w:rsid w:val="001A0AC3"/>
    <w:rsid w:val="001A1B81"/>
    <w:rsid w:val="001A2EF1"/>
    <w:rsid w:val="001A3761"/>
    <w:rsid w:val="001A385A"/>
    <w:rsid w:val="001A3CAE"/>
    <w:rsid w:val="001A47AB"/>
    <w:rsid w:val="001A61E5"/>
    <w:rsid w:val="001A7A91"/>
    <w:rsid w:val="001B0E11"/>
    <w:rsid w:val="001B0F3B"/>
    <w:rsid w:val="001B2A07"/>
    <w:rsid w:val="001B3ACE"/>
    <w:rsid w:val="001B3B61"/>
    <w:rsid w:val="001B48F3"/>
    <w:rsid w:val="001B5660"/>
    <w:rsid w:val="001C3100"/>
    <w:rsid w:val="001C418C"/>
    <w:rsid w:val="001C56BD"/>
    <w:rsid w:val="001C57FA"/>
    <w:rsid w:val="001C59C4"/>
    <w:rsid w:val="001C5E7E"/>
    <w:rsid w:val="001C7306"/>
    <w:rsid w:val="001D074E"/>
    <w:rsid w:val="001D0C61"/>
    <w:rsid w:val="001D14DE"/>
    <w:rsid w:val="001D26B0"/>
    <w:rsid w:val="001D39E8"/>
    <w:rsid w:val="001D3C2E"/>
    <w:rsid w:val="001D3C50"/>
    <w:rsid w:val="001D4213"/>
    <w:rsid w:val="001D5592"/>
    <w:rsid w:val="001D5F54"/>
    <w:rsid w:val="001D5FC9"/>
    <w:rsid w:val="001D7631"/>
    <w:rsid w:val="001E022F"/>
    <w:rsid w:val="001E0EFF"/>
    <w:rsid w:val="001E17A2"/>
    <w:rsid w:val="001E245A"/>
    <w:rsid w:val="001E2864"/>
    <w:rsid w:val="001E35C0"/>
    <w:rsid w:val="001E3E37"/>
    <w:rsid w:val="001E4EC8"/>
    <w:rsid w:val="001E51DE"/>
    <w:rsid w:val="001E723A"/>
    <w:rsid w:val="001E736F"/>
    <w:rsid w:val="001F0733"/>
    <w:rsid w:val="001F1634"/>
    <w:rsid w:val="001F1A88"/>
    <w:rsid w:val="001F4A64"/>
    <w:rsid w:val="001F4E2F"/>
    <w:rsid w:val="001F530C"/>
    <w:rsid w:val="001F71FB"/>
    <w:rsid w:val="001F7FBF"/>
    <w:rsid w:val="00200762"/>
    <w:rsid w:val="0020095C"/>
    <w:rsid w:val="00201253"/>
    <w:rsid w:val="00201334"/>
    <w:rsid w:val="002021EA"/>
    <w:rsid w:val="00202A78"/>
    <w:rsid w:val="00203CCB"/>
    <w:rsid w:val="00203E1D"/>
    <w:rsid w:val="00203EEB"/>
    <w:rsid w:val="00204578"/>
    <w:rsid w:val="002055DD"/>
    <w:rsid w:val="0020585C"/>
    <w:rsid w:val="002066CE"/>
    <w:rsid w:val="0021029E"/>
    <w:rsid w:val="002104C1"/>
    <w:rsid w:val="00210915"/>
    <w:rsid w:val="002118F6"/>
    <w:rsid w:val="00212E64"/>
    <w:rsid w:val="002136C6"/>
    <w:rsid w:val="00213B96"/>
    <w:rsid w:val="00213D0A"/>
    <w:rsid w:val="00213D68"/>
    <w:rsid w:val="00214236"/>
    <w:rsid w:val="0021454C"/>
    <w:rsid w:val="0021618C"/>
    <w:rsid w:val="00216FA5"/>
    <w:rsid w:val="00217114"/>
    <w:rsid w:val="002179E9"/>
    <w:rsid w:val="00217FF1"/>
    <w:rsid w:val="002201BE"/>
    <w:rsid w:val="00220878"/>
    <w:rsid w:val="0022269D"/>
    <w:rsid w:val="00223D78"/>
    <w:rsid w:val="00223DCD"/>
    <w:rsid w:val="0022520B"/>
    <w:rsid w:val="00225316"/>
    <w:rsid w:val="00225362"/>
    <w:rsid w:val="002271EE"/>
    <w:rsid w:val="00227609"/>
    <w:rsid w:val="00227BDB"/>
    <w:rsid w:val="0023023B"/>
    <w:rsid w:val="0023092D"/>
    <w:rsid w:val="0023171D"/>
    <w:rsid w:val="00232534"/>
    <w:rsid w:val="00232604"/>
    <w:rsid w:val="0023363F"/>
    <w:rsid w:val="002337EE"/>
    <w:rsid w:val="00234724"/>
    <w:rsid w:val="00234ADA"/>
    <w:rsid w:val="002353FE"/>
    <w:rsid w:val="002362A4"/>
    <w:rsid w:val="00236DBE"/>
    <w:rsid w:val="002375BD"/>
    <w:rsid w:val="0024016A"/>
    <w:rsid w:val="0024038A"/>
    <w:rsid w:val="002405AA"/>
    <w:rsid w:val="002405F1"/>
    <w:rsid w:val="00242598"/>
    <w:rsid w:val="0024320C"/>
    <w:rsid w:val="00246302"/>
    <w:rsid w:val="00246408"/>
    <w:rsid w:val="0024654B"/>
    <w:rsid w:val="00246F69"/>
    <w:rsid w:val="00246F75"/>
    <w:rsid w:val="00250CBE"/>
    <w:rsid w:val="00250F69"/>
    <w:rsid w:val="00253144"/>
    <w:rsid w:val="00253B2F"/>
    <w:rsid w:val="00253B9D"/>
    <w:rsid w:val="00254D0B"/>
    <w:rsid w:val="00255B29"/>
    <w:rsid w:val="00260122"/>
    <w:rsid w:val="0026137F"/>
    <w:rsid w:val="002616CC"/>
    <w:rsid w:val="00262C17"/>
    <w:rsid w:val="00262C9D"/>
    <w:rsid w:val="0026316F"/>
    <w:rsid w:val="00265037"/>
    <w:rsid w:val="00265D02"/>
    <w:rsid w:val="002674F3"/>
    <w:rsid w:val="002709DD"/>
    <w:rsid w:val="00270A90"/>
    <w:rsid w:val="00270AFC"/>
    <w:rsid w:val="00271FBF"/>
    <w:rsid w:val="0027238B"/>
    <w:rsid w:val="0027239E"/>
    <w:rsid w:val="002726A7"/>
    <w:rsid w:val="00272CC5"/>
    <w:rsid w:val="00273D2F"/>
    <w:rsid w:val="0027485B"/>
    <w:rsid w:val="00274FAE"/>
    <w:rsid w:val="002762F6"/>
    <w:rsid w:val="0027697D"/>
    <w:rsid w:val="00280E82"/>
    <w:rsid w:val="00286EF6"/>
    <w:rsid w:val="00287AF2"/>
    <w:rsid w:val="002900B5"/>
    <w:rsid w:val="0029065C"/>
    <w:rsid w:val="002917C5"/>
    <w:rsid w:val="00291807"/>
    <w:rsid w:val="00293873"/>
    <w:rsid w:val="002946E0"/>
    <w:rsid w:val="0029522E"/>
    <w:rsid w:val="00297781"/>
    <w:rsid w:val="00297F4A"/>
    <w:rsid w:val="002A0723"/>
    <w:rsid w:val="002A0C21"/>
    <w:rsid w:val="002A1253"/>
    <w:rsid w:val="002A2D80"/>
    <w:rsid w:val="002A4435"/>
    <w:rsid w:val="002A4477"/>
    <w:rsid w:val="002A4DC9"/>
    <w:rsid w:val="002A5310"/>
    <w:rsid w:val="002A560D"/>
    <w:rsid w:val="002A7136"/>
    <w:rsid w:val="002A71A6"/>
    <w:rsid w:val="002A7576"/>
    <w:rsid w:val="002A7F09"/>
    <w:rsid w:val="002B0514"/>
    <w:rsid w:val="002B0A13"/>
    <w:rsid w:val="002B1023"/>
    <w:rsid w:val="002B11E2"/>
    <w:rsid w:val="002B1ED0"/>
    <w:rsid w:val="002B2031"/>
    <w:rsid w:val="002B2784"/>
    <w:rsid w:val="002B2D03"/>
    <w:rsid w:val="002B2E5F"/>
    <w:rsid w:val="002B2E91"/>
    <w:rsid w:val="002B3856"/>
    <w:rsid w:val="002B38AB"/>
    <w:rsid w:val="002B4201"/>
    <w:rsid w:val="002B544C"/>
    <w:rsid w:val="002B5CC9"/>
    <w:rsid w:val="002B653C"/>
    <w:rsid w:val="002C05D2"/>
    <w:rsid w:val="002C1516"/>
    <w:rsid w:val="002C3A39"/>
    <w:rsid w:val="002C73CB"/>
    <w:rsid w:val="002D0924"/>
    <w:rsid w:val="002D0A40"/>
    <w:rsid w:val="002D1CAC"/>
    <w:rsid w:val="002D2547"/>
    <w:rsid w:val="002D29CC"/>
    <w:rsid w:val="002D4709"/>
    <w:rsid w:val="002D5005"/>
    <w:rsid w:val="002D69E3"/>
    <w:rsid w:val="002D7D82"/>
    <w:rsid w:val="002E0656"/>
    <w:rsid w:val="002E153A"/>
    <w:rsid w:val="002E1AF0"/>
    <w:rsid w:val="002E269A"/>
    <w:rsid w:val="002E2BE2"/>
    <w:rsid w:val="002E3058"/>
    <w:rsid w:val="002E4384"/>
    <w:rsid w:val="002E633C"/>
    <w:rsid w:val="002F1234"/>
    <w:rsid w:val="002F1795"/>
    <w:rsid w:val="002F1965"/>
    <w:rsid w:val="002F376B"/>
    <w:rsid w:val="002F37D1"/>
    <w:rsid w:val="002F3B48"/>
    <w:rsid w:val="002F4091"/>
    <w:rsid w:val="002F445B"/>
    <w:rsid w:val="002F59B9"/>
    <w:rsid w:val="002F6FC0"/>
    <w:rsid w:val="002F7191"/>
    <w:rsid w:val="002F798D"/>
    <w:rsid w:val="00300472"/>
    <w:rsid w:val="00301DC9"/>
    <w:rsid w:val="00303080"/>
    <w:rsid w:val="00303743"/>
    <w:rsid w:val="0030375F"/>
    <w:rsid w:val="003054C5"/>
    <w:rsid w:val="00306D51"/>
    <w:rsid w:val="003100D9"/>
    <w:rsid w:val="003118E7"/>
    <w:rsid w:val="003129B4"/>
    <w:rsid w:val="00313AA0"/>
    <w:rsid w:val="00314017"/>
    <w:rsid w:val="00314EFC"/>
    <w:rsid w:val="00316F01"/>
    <w:rsid w:val="0032022E"/>
    <w:rsid w:val="00320378"/>
    <w:rsid w:val="0032253B"/>
    <w:rsid w:val="00322C2C"/>
    <w:rsid w:val="00322C7A"/>
    <w:rsid w:val="00322E91"/>
    <w:rsid w:val="003230CC"/>
    <w:rsid w:val="00323CC7"/>
    <w:rsid w:val="003260F6"/>
    <w:rsid w:val="003273D4"/>
    <w:rsid w:val="0033112E"/>
    <w:rsid w:val="00335004"/>
    <w:rsid w:val="0033682B"/>
    <w:rsid w:val="00337D9C"/>
    <w:rsid w:val="00341B48"/>
    <w:rsid w:val="003425DF"/>
    <w:rsid w:val="0034310A"/>
    <w:rsid w:val="00343473"/>
    <w:rsid w:val="00343C79"/>
    <w:rsid w:val="0034492C"/>
    <w:rsid w:val="003454F6"/>
    <w:rsid w:val="00345649"/>
    <w:rsid w:val="00345E09"/>
    <w:rsid w:val="00346DC7"/>
    <w:rsid w:val="00346FE5"/>
    <w:rsid w:val="003501EA"/>
    <w:rsid w:val="00351937"/>
    <w:rsid w:val="0035243F"/>
    <w:rsid w:val="00357692"/>
    <w:rsid w:val="00357FE3"/>
    <w:rsid w:val="0036025B"/>
    <w:rsid w:val="00360E48"/>
    <w:rsid w:val="003624E3"/>
    <w:rsid w:val="00362FAC"/>
    <w:rsid w:val="003630C3"/>
    <w:rsid w:val="00363C6B"/>
    <w:rsid w:val="00364989"/>
    <w:rsid w:val="00364A10"/>
    <w:rsid w:val="00364A83"/>
    <w:rsid w:val="0036665E"/>
    <w:rsid w:val="00370F26"/>
    <w:rsid w:val="00371A85"/>
    <w:rsid w:val="0037317E"/>
    <w:rsid w:val="00373FB1"/>
    <w:rsid w:val="00375228"/>
    <w:rsid w:val="00376149"/>
    <w:rsid w:val="00377CE7"/>
    <w:rsid w:val="00377D6F"/>
    <w:rsid w:val="003807A6"/>
    <w:rsid w:val="00380B1E"/>
    <w:rsid w:val="00382491"/>
    <w:rsid w:val="00384A36"/>
    <w:rsid w:val="00385601"/>
    <w:rsid w:val="00386E17"/>
    <w:rsid w:val="00396708"/>
    <w:rsid w:val="00396BF1"/>
    <w:rsid w:val="003970EA"/>
    <w:rsid w:val="0039766E"/>
    <w:rsid w:val="00397DF2"/>
    <w:rsid w:val="00397EFF"/>
    <w:rsid w:val="003A1327"/>
    <w:rsid w:val="003A224C"/>
    <w:rsid w:val="003A2EFF"/>
    <w:rsid w:val="003A49DD"/>
    <w:rsid w:val="003A4B33"/>
    <w:rsid w:val="003A5B47"/>
    <w:rsid w:val="003A6B4E"/>
    <w:rsid w:val="003A6CDE"/>
    <w:rsid w:val="003B1EF6"/>
    <w:rsid w:val="003B31DC"/>
    <w:rsid w:val="003B49C6"/>
    <w:rsid w:val="003B4BC9"/>
    <w:rsid w:val="003B5329"/>
    <w:rsid w:val="003B5805"/>
    <w:rsid w:val="003C04AA"/>
    <w:rsid w:val="003C0B07"/>
    <w:rsid w:val="003C2693"/>
    <w:rsid w:val="003C2863"/>
    <w:rsid w:val="003C2C25"/>
    <w:rsid w:val="003C384D"/>
    <w:rsid w:val="003C422C"/>
    <w:rsid w:val="003C4536"/>
    <w:rsid w:val="003C4574"/>
    <w:rsid w:val="003C46A6"/>
    <w:rsid w:val="003C4B08"/>
    <w:rsid w:val="003C7AC7"/>
    <w:rsid w:val="003D0A1C"/>
    <w:rsid w:val="003D1168"/>
    <w:rsid w:val="003D1DA7"/>
    <w:rsid w:val="003D27C3"/>
    <w:rsid w:val="003D2DDD"/>
    <w:rsid w:val="003D343E"/>
    <w:rsid w:val="003D386F"/>
    <w:rsid w:val="003D41E4"/>
    <w:rsid w:val="003D422B"/>
    <w:rsid w:val="003D5074"/>
    <w:rsid w:val="003D65DB"/>
    <w:rsid w:val="003D74DE"/>
    <w:rsid w:val="003D793C"/>
    <w:rsid w:val="003E15BD"/>
    <w:rsid w:val="003E15CF"/>
    <w:rsid w:val="003E203F"/>
    <w:rsid w:val="003E20E5"/>
    <w:rsid w:val="003E2E06"/>
    <w:rsid w:val="003E34EB"/>
    <w:rsid w:val="003E363A"/>
    <w:rsid w:val="003E4A72"/>
    <w:rsid w:val="003E4BBA"/>
    <w:rsid w:val="003E58AA"/>
    <w:rsid w:val="003E615B"/>
    <w:rsid w:val="003E66B3"/>
    <w:rsid w:val="003E7516"/>
    <w:rsid w:val="003F0080"/>
    <w:rsid w:val="003F01AF"/>
    <w:rsid w:val="003F53B6"/>
    <w:rsid w:val="003F7672"/>
    <w:rsid w:val="004008DD"/>
    <w:rsid w:val="004035CF"/>
    <w:rsid w:val="00403A16"/>
    <w:rsid w:val="004053E4"/>
    <w:rsid w:val="00406D1E"/>
    <w:rsid w:val="00406FBD"/>
    <w:rsid w:val="004078CF"/>
    <w:rsid w:val="00410D8B"/>
    <w:rsid w:val="00411998"/>
    <w:rsid w:val="00411B9C"/>
    <w:rsid w:val="00413DCE"/>
    <w:rsid w:val="00414232"/>
    <w:rsid w:val="0041459A"/>
    <w:rsid w:val="00416302"/>
    <w:rsid w:val="004174C4"/>
    <w:rsid w:val="00420AA2"/>
    <w:rsid w:val="00420F67"/>
    <w:rsid w:val="00422736"/>
    <w:rsid w:val="004233F7"/>
    <w:rsid w:val="00423691"/>
    <w:rsid w:val="0042555D"/>
    <w:rsid w:val="00425583"/>
    <w:rsid w:val="00425BEE"/>
    <w:rsid w:val="00430753"/>
    <w:rsid w:val="00430A84"/>
    <w:rsid w:val="00430DF1"/>
    <w:rsid w:val="0043162A"/>
    <w:rsid w:val="00432610"/>
    <w:rsid w:val="00432E77"/>
    <w:rsid w:val="00433BA7"/>
    <w:rsid w:val="004347E6"/>
    <w:rsid w:val="004355FC"/>
    <w:rsid w:val="00435F4F"/>
    <w:rsid w:val="00440131"/>
    <w:rsid w:val="0044080E"/>
    <w:rsid w:val="004433ED"/>
    <w:rsid w:val="004511F9"/>
    <w:rsid w:val="004521EF"/>
    <w:rsid w:val="00454214"/>
    <w:rsid w:val="00456735"/>
    <w:rsid w:val="00457099"/>
    <w:rsid w:val="00457916"/>
    <w:rsid w:val="00460E24"/>
    <w:rsid w:val="004619A3"/>
    <w:rsid w:val="00461E3B"/>
    <w:rsid w:val="00462536"/>
    <w:rsid w:val="00463003"/>
    <w:rsid w:val="00464AC9"/>
    <w:rsid w:val="004654DD"/>
    <w:rsid w:val="00465DEA"/>
    <w:rsid w:val="00466362"/>
    <w:rsid w:val="004665B4"/>
    <w:rsid w:val="00466F5C"/>
    <w:rsid w:val="00467A8C"/>
    <w:rsid w:val="004701EB"/>
    <w:rsid w:val="004714E2"/>
    <w:rsid w:val="004718F5"/>
    <w:rsid w:val="004722B7"/>
    <w:rsid w:val="004729AD"/>
    <w:rsid w:val="00472ECC"/>
    <w:rsid w:val="00474153"/>
    <w:rsid w:val="00475137"/>
    <w:rsid w:val="00475324"/>
    <w:rsid w:val="00475B0C"/>
    <w:rsid w:val="00475DC5"/>
    <w:rsid w:val="00475FF7"/>
    <w:rsid w:val="0047688E"/>
    <w:rsid w:val="00476DC9"/>
    <w:rsid w:val="00477855"/>
    <w:rsid w:val="0047789D"/>
    <w:rsid w:val="00477DAD"/>
    <w:rsid w:val="00480C1B"/>
    <w:rsid w:val="00481005"/>
    <w:rsid w:val="00481D29"/>
    <w:rsid w:val="004830F3"/>
    <w:rsid w:val="0048458D"/>
    <w:rsid w:val="00484F97"/>
    <w:rsid w:val="00485EE3"/>
    <w:rsid w:val="0048647B"/>
    <w:rsid w:val="00486AF2"/>
    <w:rsid w:val="00490223"/>
    <w:rsid w:val="004915B4"/>
    <w:rsid w:val="00492963"/>
    <w:rsid w:val="004948BD"/>
    <w:rsid w:val="0049493B"/>
    <w:rsid w:val="00495D27"/>
    <w:rsid w:val="00497965"/>
    <w:rsid w:val="004A073F"/>
    <w:rsid w:val="004A1EDF"/>
    <w:rsid w:val="004A274C"/>
    <w:rsid w:val="004A2DED"/>
    <w:rsid w:val="004A4321"/>
    <w:rsid w:val="004A4420"/>
    <w:rsid w:val="004A4C5B"/>
    <w:rsid w:val="004A5935"/>
    <w:rsid w:val="004A6400"/>
    <w:rsid w:val="004A640B"/>
    <w:rsid w:val="004A7930"/>
    <w:rsid w:val="004A7E8D"/>
    <w:rsid w:val="004A7F3E"/>
    <w:rsid w:val="004B0D8C"/>
    <w:rsid w:val="004B157F"/>
    <w:rsid w:val="004B397A"/>
    <w:rsid w:val="004B4113"/>
    <w:rsid w:val="004B4305"/>
    <w:rsid w:val="004B528F"/>
    <w:rsid w:val="004B54DB"/>
    <w:rsid w:val="004B63F8"/>
    <w:rsid w:val="004B66A8"/>
    <w:rsid w:val="004B7F22"/>
    <w:rsid w:val="004B7F61"/>
    <w:rsid w:val="004C092D"/>
    <w:rsid w:val="004C0ABF"/>
    <w:rsid w:val="004C0DF8"/>
    <w:rsid w:val="004C0F21"/>
    <w:rsid w:val="004C11DE"/>
    <w:rsid w:val="004C14B9"/>
    <w:rsid w:val="004C3211"/>
    <w:rsid w:val="004C35B1"/>
    <w:rsid w:val="004C64A4"/>
    <w:rsid w:val="004C664C"/>
    <w:rsid w:val="004C7475"/>
    <w:rsid w:val="004C7801"/>
    <w:rsid w:val="004D1458"/>
    <w:rsid w:val="004D1B49"/>
    <w:rsid w:val="004D1EF7"/>
    <w:rsid w:val="004D2CD8"/>
    <w:rsid w:val="004D36AB"/>
    <w:rsid w:val="004D3E32"/>
    <w:rsid w:val="004D42B4"/>
    <w:rsid w:val="004D7221"/>
    <w:rsid w:val="004E1769"/>
    <w:rsid w:val="004E1A42"/>
    <w:rsid w:val="004E3323"/>
    <w:rsid w:val="004E35D6"/>
    <w:rsid w:val="004E42D3"/>
    <w:rsid w:val="004E4994"/>
    <w:rsid w:val="004E5142"/>
    <w:rsid w:val="004E5C6A"/>
    <w:rsid w:val="004E6A75"/>
    <w:rsid w:val="004F18F8"/>
    <w:rsid w:val="004F235D"/>
    <w:rsid w:val="004F2ED9"/>
    <w:rsid w:val="004F2F7E"/>
    <w:rsid w:val="004F31B7"/>
    <w:rsid w:val="004F57E5"/>
    <w:rsid w:val="004F5AAA"/>
    <w:rsid w:val="004F701B"/>
    <w:rsid w:val="004F7301"/>
    <w:rsid w:val="00503FEE"/>
    <w:rsid w:val="00505BA1"/>
    <w:rsid w:val="005060B9"/>
    <w:rsid w:val="00506279"/>
    <w:rsid w:val="00512650"/>
    <w:rsid w:val="00514009"/>
    <w:rsid w:val="0051688D"/>
    <w:rsid w:val="00516DB2"/>
    <w:rsid w:val="005174D4"/>
    <w:rsid w:val="00517BE7"/>
    <w:rsid w:val="005217C0"/>
    <w:rsid w:val="00523774"/>
    <w:rsid w:val="00524BFD"/>
    <w:rsid w:val="005255EE"/>
    <w:rsid w:val="00525A07"/>
    <w:rsid w:val="00525C84"/>
    <w:rsid w:val="00525ECB"/>
    <w:rsid w:val="00525F3B"/>
    <w:rsid w:val="00530B96"/>
    <w:rsid w:val="005314DE"/>
    <w:rsid w:val="00531771"/>
    <w:rsid w:val="00531E57"/>
    <w:rsid w:val="00532B17"/>
    <w:rsid w:val="0053595D"/>
    <w:rsid w:val="00540BA4"/>
    <w:rsid w:val="00541C03"/>
    <w:rsid w:val="00542541"/>
    <w:rsid w:val="00542D76"/>
    <w:rsid w:val="005441EA"/>
    <w:rsid w:val="00544629"/>
    <w:rsid w:val="005452C7"/>
    <w:rsid w:val="00546782"/>
    <w:rsid w:val="00546939"/>
    <w:rsid w:val="0054784A"/>
    <w:rsid w:val="00547A46"/>
    <w:rsid w:val="005503BC"/>
    <w:rsid w:val="00550A2C"/>
    <w:rsid w:val="00550E72"/>
    <w:rsid w:val="0055425D"/>
    <w:rsid w:val="00554489"/>
    <w:rsid w:val="00555C8C"/>
    <w:rsid w:val="00555FDC"/>
    <w:rsid w:val="00555FF0"/>
    <w:rsid w:val="00556669"/>
    <w:rsid w:val="005572E5"/>
    <w:rsid w:val="00557A83"/>
    <w:rsid w:val="00560668"/>
    <w:rsid w:val="00560691"/>
    <w:rsid w:val="005608EA"/>
    <w:rsid w:val="00563C51"/>
    <w:rsid w:val="005640F8"/>
    <w:rsid w:val="00566159"/>
    <w:rsid w:val="00566E31"/>
    <w:rsid w:val="00571C72"/>
    <w:rsid w:val="00573B55"/>
    <w:rsid w:val="00573CCD"/>
    <w:rsid w:val="0057451A"/>
    <w:rsid w:val="0057462B"/>
    <w:rsid w:val="005754A7"/>
    <w:rsid w:val="0057570D"/>
    <w:rsid w:val="00575FA8"/>
    <w:rsid w:val="005772A6"/>
    <w:rsid w:val="0057753D"/>
    <w:rsid w:val="0057765F"/>
    <w:rsid w:val="00577C77"/>
    <w:rsid w:val="0058043B"/>
    <w:rsid w:val="00580F98"/>
    <w:rsid w:val="0058155A"/>
    <w:rsid w:val="00581B83"/>
    <w:rsid w:val="005826AB"/>
    <w:rsid w:val="00582D48"/>
    <w:rsid w:val="00583DD8"/>
    <w:rsid w:val="0058421A"/>
    <w:rsid w:val="005853D8"/>
    <w:rsid w:val="0058546D"/>
    <w:rsid w:val="00585717"/>
    <w:rsid w:val="00585922"/>
    <w:rsid w:val="00587E18"/>
    <w:rsid w:val="005905D6"/>
    <w:rsid w:val="00590C93"/>
    <w:rsid w:val="00590F48"/>
    <w:rsid w:val="00594499"/>
    <w:rsid w:val="005968AD"/>
    <w:rsid w:val="00597035"/>
    <w:rsid w:val="005A17BE"/>
    <w:rsid w:val="005A2043"/>
    <w:rsid w:val="005A3592"/>
    <w:rsid w:val="005A4074"/>
    <w:rsid w:val="005A4BE2"/>
    <w:rsid w:val="005A5C66"/>
    <w:rsid w:val="005A7BF8"/>
    <w:rsid w:val="005B0055"/>
    <w:rsid w:val="005B073B"/>
    <w:rsid w:val="005B274D"/>
    <w:rsid w:val="005B2D83"/>
    <w:rsid w:val="005B453D"/>
    <w:rsid w:val="005B5899"/>
    <w:rsid w:val="005B6297"/>
    <w:rsid w:val="005B698C"/>
    <w:rsid w:val="005B7D56"/>
    <w:rsid w:val="005C204E"/>
    <w:rsid w:val="005C420C"/>
    <w:rsid w:val="005C4A45"/>
    <w:rsid w:val="005C4C2F"/>
    <w:rsid w:val="005C56CF"/>
    <w:rsid w:val="005C757A"/>
    <w:rsid w:val="005C776F"/>
    <w:rsid w:val="005D019D"/>
    <w:rsid w:val="005D0BB7"/>
    <w:rsid w:val="005D1231"/>
    <w:rsid w:val="005D1BEE"/>
    <w:rsid w:val="005D3234"/>
    <w:rsid w:val="005D3CAF"/>
    <w:rsid w:val="005D6AC2"/>
    <w:rsid w:val="005D7758"/>
    <w:rsid w:val="005D7812"/>
    <w:rsid w:val="005E0BB9"/>
    <w:rsid w:val="005E0DA6"/>
    <w:rsid w:val="005E0DED"/>
    <w:rsid w:val="005E0F9B"/>
    <w:rsid w:val="005E13A6"/>
    <w:rsid w:val="005E2989"/>
    <w:rsid w:val="005E3389"/>
    <w:rsid w:val="005F0011"/>
    <w:rsid w:val="005F0BDF"/>
    <w:rsid w:val="005F1757"/>
    <w:rsid w:val="005F2CE6"/>
    <w:rsid w:val="005F2E93"/>
    <w:rsid w:val="005F30CD"/>
    <w:rsid w:val="005F42DB"/>
    <w:rsid w:val="005F4437"/>
    <w:rsid w:val="005F53FF"/>
    <w:rsid w:val="005F5885"/>
    <w:rsid w:val="005F7789"/>
    <w:rsid w:val="005F7C06"/>
    <w:rsid w:val="005F7C6E"/>
    <w:rsid w:val="00601196"/>
    <w:rsid w:val="00602915"/>
    <w:rsid w:val="0060327F"/>
    <w:rsid w:val="00603A10"/>
    <w:rsid w:val="00603BD1"/>
    <w:rsid w:val="00604A11"/>
    <w:rsid w:val="006050F8"/>
    <w:rsid w:val="0060640A"/>
    <w:rsid w:val="00606ACD"/>
    <w:rsid w:val="006077C3"/>
    <w:rsid w:val="0061045A"/>
    <w:rsid w:val="00610A55"/>
    <w:rsid w:val="00610AC9"/>
    <w:rsid w:val="00613B5A"/>
    <w:rsid w:val="00614E8A"/>
    <w:rsid w:val="00615EA0"/>
    <w:rsid w:val="0061631A"/>
    <w:rsid w:val="00616493"/>
    <w:rsid w:val="00623886"/>
    <w:rsid w:val="0062554A"/>
    <w:rsid w:val="00625BBB"/>
    <w:rsid w:val="00633491"/>
    <w:rsid w:val="00633977"/>
    <w:rsid w:val="00633C75"/>
    <w:rsid w:val="00633F4A"/>
    <w:rsid w:val="006341A9"/>
    <w:rsid w:val="0063548B"/>
    <w:rsid w:val="00637737"/>
    <w:rsid w:val="0063773C"/>
    <w:rsid w:val="0064013F"/>
    <w:rsid w:val="00642C49"/>
    <w:rsid w:val="006448FF"/>
    <w:rsid w:val="00644EEC"/>
    <w:rsid w:val="00645786"/>
    <w:rsid w:val="006464E0"/>
    <w:rsid w:val="006466DE"/>
    <w:rsid w:val="0065066A"/>
    <w:rsid w:val="00651BE4"/>
    <w:rsid w:val="00653571"/>
    <w:rsid w:val="006542F5"/>
    <w:rsid w:val="00655E1F"/>
    <w:rsid w:val="00655FE1"/>
    <w:rsid w:val="0066081D"/>
    <w:rsid w:val="0066137B"/>
    <w:rsid w:val="00662A5D"/>
    <w:rsid w:val="00664B17"/>
    <w:rsid w:val="00666E46"/>
    <w:rsid w:val="00667CE2"/>
    <w:rsid w:val="0067081A"/>
    <w:rsid w:val="00670DA1"/>
    <w:rsid w:val="00671A6F"/>
    <w:rsid w:val="00672976"/>
    <w:rsid w:val="00673DCC"/>
    <w:rsid w:val="00674F03"/>
    <w:rsid w:val="00675589"/>
    <w:rsid w:val="00680E43"/>
    <w:rsid w:val="0068629E"/>
    <w:rsid w:val="00687880"/>
    <w:rsid w:val="00690055"/>
    <w:rsid w:val="00690545"/>
    <w:rsid w:val="006906C1"/>
    <w:rsid w:val="006909F7"/>
    <w:rsid w:val="006945C1"/>
    <w:rsid w:val="00695496"/>
    <w:rsid w:val="00695BBA"/>
    <w:rsid w:val="00696797"/>
    <w:rsid w:val="00696CF5"/>
    <w:rsid w:val="006A1E27"/>
    <w:rsid w:val="006A21B1"/>
    <w:rsid w:val="006A2694"/>
    <w:rsid w:val="006A26C7"/>
    <w:rsid w:val="006A2FD3"/>
    <w:rsid w:val="006A4245"/>
    <w:rsid w:val="006A561C"/>
    <w:rsid w:val="006A5ACD"/>
    <w:rsid w:val="006A5FAA"/>
    <w:rsid w:val="006A6077"/>
    <w:rsid w:val="006A61C9"/>
    <w:rsid w:val="006A6FA2"/>
    <w:rsid w:val="006B20F4"/>
    <w:rsid w:val="006B3B3C"/>
    <w:rsid w:val="006B3F7E"/>
    <w:rsid w:val="006B47B0"/>
    <w:rsid w:val="006B52D5"/>
    <w:rsid w:val="006B5FC7"/>
    <w:rsid w:val="006B644E"/>
    <w:rsid w:val="006B66B2"/>
    <w:rsid w:val="006B69BB"/>
    <w:rsid w:val="006C1465"/>
    <w:rsid w:val="006C18E7"/>
    <w:rsid w:val="006C2642"/>
    <w:rsid w:val="006C2F9B"/>
    <w:rsid w:val="006C4151"/>
    <w:rsid w:val="006C5625"/>
    <w:rsid w:val="006C64EF"/>
    <w:rsid w:val="006C7289"/>
    <w:rsid w:val="006D1AAC"/>
    <w:rsid w:val="006D3A12"/>
    <w:rsid w:val="006D6360"/>
    <w:rsid w:val="006D680F"/>
    <w:rsid w:val="006D7CFD"/>
    <w:rsid w:val="006E0621"/>
    <w:rsid w:val="006E09C5"/>
    <w:rsid w:val="006E210F"/>
    <w:rsid w:val="006E2B60"/>
    <w:rsid w:val="006E2F3E"/>
    <w:rsid w:val="006E44CC"/>
    <w:rsid w:val="006E4EC2"/>
    <w:rsid w:val="006E5367"/>
    <w:rsid w:val="006E6FD8"/>
    <w:rsid w:val="006F2115"/>
    <w:rsid w:val="006F2EFA"/>
    <w:rsid w:val="006F3461"/>
    <w:rsid w:val="006F373C"/>
    <w:rsid w:val="006F4589"/>
    <w:rsid w:val="006F45C0"/>
    <w:rsid w:val="006F472C"/>
    <w:rsid w:val="006F5274"/>
    <w:rsid w:val="006F59C3"/>
    <w:rsid w:val="006F5C72"/>
    <w:rsid w:val="006F60C7"/>
    <w:rsid w:val="006F68FD"/>
    <w:rsid w:val="006F6EFA"/>
    <w:rsid w:val="006F7155"/>
    <w:rsid w:val="006F7A74"/>
    <w:rsid w:val="00700828"/>
    <w:rsid w:val="00700CF5"/>
    <w:rsid w:val="00701E8B"/>
    <w:rsid w:val="007022FD"/>
    <w:rsid w:val="00702ED3"/>
    <w:rsid w:val="00703404"/>
    <w:rsid w:val="00704566"/>
    <w:rsid w:val="0070564D"/>
    <w:rsid w:val="00705690"/>
    <w:rsid w:val="007107F0"/>
    <w:rsid w:val="00710DD2"/>
    <w:rsid w:val="00710E87"/>
    <w:rsid w:val="0071325A"/>
    <w:rsid w:val="00714215"/>
    <w:rsid w:val="00714953"/>
    <w:rsid w:val="00714C9D"/>
    <w:rsid w:val="00714E54"/>
    <w:rsid w:val="00715943"/>
    <w:rsid w:val="00716646"/>
    <w:rsid w:val="007172E7"/>
    <w:rsid w:val="007173D5"/>
    <w:rsid w:val="007216AB"/>
    <w:rsid w:val="00721C76"/>
    <w:rsid w:val="0072303B"/>
    <w:rsid w:val="0072330B"/>
    <w:rsid w:val="00723AEE"/>
    <w:rsid w:val="00730477"/>
    <w:rsid w:val="0073055E"/>
    <w:rsid w:val="00731F72"/>
    <w:rsid w:val="007320AC"/>
    <w:rsid w:val="007322C2"/>
    <w:rsid w:val="00733111"/>
    <w:rsid w:val="007354B8"/>
    <w:rsid w:val="0073574D"/>
    <w:rsid w:val="00736050"/>
    <w:rsid w:val="0073650F"/>
    <w:rsid w:val="007366A3"/>
    <w:rsid w:val="00736F81"/>
    <w:rsid w:val="00737490"/>
    <w:rsid w:val="00737630"/>
    <w:rsid w:val="0073781B"/>
    <w:rsid w:val="00740CA1"/>
    <w:rsid w:val="0074127F"/>
    <w:rsid w:val="00742027"/>
    <w:rsid w:val="00742445"/>
    <w:rsid w:val="00744BBD"/>
    <w:rsid w:val="0074515F"/>
    <w:rsid w:val="0074588F"/>
    <w:rsid w:val="007462B7"/>
    <w:rsid w:val="00746CBA"/>
    <w:rsid w:val="007475B0"/>
    <w:rsid w:val="00750791"/>
    <w:rsid w:val="00755235"/>
    <w:rsid w:val="00755334"/>
    <w:rsid w:val="00757A0F"/>
    <w:rsid w:val="00757C81"/>
    <w:rsid w:val="00760DEA"/>
    <w:rsid w:val="00765C29"/>
    <w:rsid w:val="00765F52"/>
    <w:rsid w:val="007666D3"/>
    <w:rsid w:val="00766AC5"/>
    <w:rsid w:val="0076702D"/>
    <w:rsid w:val="00767D10"/>
    <w:rsid w:val="0077075C"/>
    <w:rsid w:val="007711BA"/>
    <w:rsid w:val="00771CA3"/>
    <w:rsid w:val="007739C9"/>
    <w:rsid w:val="00775061"/>
    <w:rsid w:val="00775B59"/>
    <w:rsid w:val="0077614B"/>
    <w:rsid w:val="00777676"/>
    <w:rsid w:val="00780E89"/>
    <w:rsid w:val="0078111A"/>
    <w:rsid w:val="00781974"/>
    <w:rsid w:val="0078237C"/>
    <w:rsid w:val="00784F44"/>
    <w:rsid w:val="00786049"/>
    <w:rsid w:val="00787C83"/>
    <w:rsid w:val="00790FA7"/>
    <w:rsid w:val="00791778"/>
    <w:rsid w:val="00791C2F"/>
    <w:rsid w:val="00792323"/>
    <w:rsid w:val="0079377B"/>
    <w:rsid w:val="0079393C"/>
    <w:rsid w:val="0079432D"/>
    <w:rsid w:val="00796016"/>
    <w:rsid w:val="007A0AC1"/>
    <w:rsid w:val="007A0C07"/>
    <w:rsid w:val="007A144D"/>
    <w:rsid w:val="007A144E"/>
    <w:rsid w:val="007A16AD"/>
    <w:rsid w:val="007A1EBB"/>
    <w:rsid w:val="007A275F"/>
    <w:rsid w:val="007A34A9"/>
    <w:rsid w:val="007A3F99"/>
    <w:rsid w:val="007A4EDB"/>
    <w:rsid w:val="007A6812"/>
    <w:rsid w:val="007A77CB"/>
    <w:rsid w:val="007B2F49"/>
    <w:rsid w:val="007B30E9"/>
    <w:rsid w:val="007B5091"/>
    <w:rsid w:val="007B64D6"/>
    <w:rsid w:val="007B6EDD"/>
    <w:rsid w:val="007B6F3C"/>
    <w:rsid w:val="007B72FD"/>
    <w:rsid w:val="007C04DB"/>
    <w:rsid w:val="007C19CF"/>
    <w:rsid w:val="007C2667"/>
    <w:rsid w:val="007C2922"/>
    <w:rsid w:val="007C3BE3"/>
    <w:rsid w:val="007C4A54"/>
    <w:rsid w:val="007C4FD0"/>
    <w:rsid w:val="007C5D32"/>
    <w:rsid w:val="007C6887"/>
    <w:rsid w:val="007C7381"/>
    <w:rsid w:val="007C7B3D"/>
    <w:rsid w:val="007D0157"/>
    <w:rsid w:val="007D0D54"/>
    <w:rsid w:val="007D1063"/>
    <w:rsid w:val="007D21DD"/>
    <w:rsid w:val="007D2481"/>
    <w:rsid w:val="007D31FE"/>
    <w:rsid w:val="007D407B"/>
    <w:rsid w:val="007D5148"/>
    <w:rsid w:val="007D5F28"/>
    <w:rsid w:val="007D678C"/>
    <w:rsid w:val="007D69E4"/>
    <w:rsid w:val="007D6B6E"/>
    <w:rsid w:val="007D6EC7"/>
    <w:rsid w:val="007E00CF"/>
    <w:rsid w:val="007E08B6"/>
    <w:rsid w:val="007E172C"/>
    <w:rsid w:val="007E1E9A"/>
    <w:rsid w:val="007E59BD"/>
    <w:rsid w:val="007E5A42"/>
    <w:rsid w:val="007E6AC8"/>
    <w:rsid w:val="007F07BD"/>
    <w:rsid w:val="007F2323"/>
    <w:rsid w:val="007F34AD"/>
    <w:rsid w:val="007F3FCD"/>
    <w:rsid w:val="007F5E51"/>
    <w:rsid w:val="007F796C"/>
    <w:rsid w:val="00804972"/>
    <w:rsid w:val="008049CC"/>
    <w:rsid w:val="00805934"/>
    <w:rsid w:val="008064DC"/>
    <w:rsid w:val="00810722"/>
    <w:rsid w:val="00811D1C"/>
    <w:rsid w:val="00812403"/>
    <w:rsid w:val="008128E5"/>
    <w:rsid w:val="00813696"/>
    <w:rsid w:val="008137C0"/>
    <w:rsid w:val="00815892"/>
    <w:rsid w:val="00815F0C"/>
    <w:rsid w:val="00816ECB"/>
    <w:rsid w:val="00820E05"/>
    <w:rsid w:val="008230C8"/>
    <w:rsid w:val="00823E3F"/>
    <w:rsid w:val="008240EE"/>
    <w:rsid w:val="008251FD"/>
    <w:rsid w:val="00825331"/>
    <w:rsid w:val="008264A0"/>
    <w:rsid w:val="008267CB"/>
    <w:rsid w:val="008268BE"/>
    <w:rsid w:val="00826BD7"/>
    <w:rsid w:val="00826C16"/>
    <w:rsid w:val="008277DD"/>
    <w:rsid w:val="00827F6E"/>
    <w:rsid w:val="0083020F"/>
    <w:rsid w:val="0083060A"/>
    <w:rsid w:val="00830C68"/>
    <w:rsid w:val="0083114A"/>
    <w:rsid w:val="008314D2"/>
    <w:rsid w:val="00831863"/>
    <w:rsid w:val="008319AC"/>
    <w:rsid w:val="00832546"/>
    <w:rsid w:val="008327EC"/>
    <w:rsid w:val="00832D2E"/>
    <w:rsid w:val="00833EE4"/>
    <w:rsid w:val="008340CF"/>
    <w:rsid w:val="00834569"/>
    <w:rsid w:val="008345AF"/>
    <w:rsid w:val="00835189"/>
    <w:rsid w:val="00835A1A"/>
    <w:rsid w:val="00836390"/>
    <w:rsid w:val="00836978"/>
    <w:rsid w:val="00837AB5"/>
    <w:rsid w:val="008420C2"/>
    <w:rsid w:val="008436A0"/>
    <w:rsid w:val="0084372C"/>
    <w:rsid w:val="00843BD8"/>
    <w:rsid w:val="0084411D"/>
    <w:rsid w:val="00844EAC"/>
    <w:rsid w:val="00844EE0"/>
    <w:rsid w:val="00845A75"/>
    <w:rsid w:val="008461CC"/>
    <w:rsid w:val="00846FCC"/>
    <w:rsid w:val="00847D04"/>
    <w:rsid w:val="008505B4"/>
    <w:rsid w:val="00854172"/>
    <w:rsid w:val="008569BA"/>
    <w:rsid w:val="00860395"/>
    <w:rsid w:val="00860459"/>
    <w:rsid w:val="00860B14"/>
    <w:rsid w:val="00863B91"/>
    <w:rsid w:val="00865F4E"/>
    <w:rsid w:val="008661C7"/>
    <w:rsid w:val="00867854"/>
    <w:rsid w:val="00867A40"/>
    <w:rsid w:val="00867CCD"/>
    <w:rsid w:val="00870987"/>
    <w:rsid w:val="00871449"/>
    <w:rsid w:val="00876B10"/>
    <w:rsid w:val="008805F2"/>
    <w:rsid w:val="008815FC"/>
    <w:rsid w:val="00882399"/>
    <w:rsid w:val="0088376E"/>
    <w:rsid w:val="0088395D"/>
    <w:rsid w:val="008857E0"/>
    <w:rsid w:val="00885B7C"/>
    <w:rsid w:val="008865FC"/>
    <w:rsid w:val="00886809"/>
    <w:rsid w:val="00886951"/>
    <w:rsid w:val="00887A38"/>
    <w:rsid w:val="00887D41"/>
    <w:rsid w:val="008905B4"/>
    <w:rsid w:val="00890C52"/>
    <w:rsid w:val="00890D51"/>
    <w:rsid w:val="008912A0"/>
    <w:rsid w:val="00891BC0"/>
    <w:rsid w:val="0089301E"/>
    <w:rsid w:val="00893B4A"/>
    <w:rsid w:val="00894B01"/>
    <w:rsid w:val="008955FA"/>
    <w:rsid w:val="00897193"/>
    <w:rsid w:val="008972A5"/>
    <w:rsid w:val="00897B87"/>
    <w:rsid w:val="008A10BF"/>
    <w:rsid w:val="008A20DD"/>
    <w:rsid w:val="008A220E"/>
    <w:rsid w:val="008A341B"/>
    <w:rsid w:val="008A412E"/>
    <w:rsid w:val="008A42E5"/>
    <w:rsid w:val="008A670D"/>
    <w:rsid w:val="008A694A"/>
    <w:rsid w:val="008B0616"/>
    <w:rsid w:val="008B06F9"/>
    <w:rsid w:val="008B1143"/>
    <w:rsid w:val="008B145F"/>
    <w:rsid w:val="008B3B23"/>
    <w:rsid w:val="008B3D56"/>
    <w:rsid w:val="008B552C"/>
    <w:rsid w:val="008B637A"/>
    <w:rsid w:val="008B7A8E"/>
    <w:rsid w:val="008C0623"/>
    <w:rsid w:val="008C135B"/>
    <w:rsid w:val="008C138C"/>
    <w:rsid w:val="008C1693"/>
    <w:rsid w:val="008C1A1D"/>
    <w:rsid w:val="008C300C"/>
    <w:rsid w:val="008C3C60"/>
    <w:rsid w:val="008C3CB1"/>
    <w:rsid w:val="008C3D9A"/>
    <w:rsid w:val="008C3F24"/>
    <w:rsid w:val="008C5974"/>
    <w:rsid w:val="008C6DC9"/>
    <w:rsid w:val="008D1F2C"/>
    <w:rsid w:val="008D21C8"/>
    <w:rsid w:val="008D30DE"/>
    <w:rsid w:val="008D37E7"/>
    <w:rsid w:val="008D3C86"/>
    <w:rsid w:val="008D40FC"/>
    <w:rsid w:val="008D4D44"/>
    <w:rsid w:val="008D5319"/>
    <w:rsid w:val="008E14F1"/>
    <w:rsid w:val="008E2603"/>
    <w:rsid w:val="008E4DF1"/>
    <w:rsid w:val="008E7DE8"/>
    <w:rsid w:val="008F0499"/>
    <w:rsid w:val="008F085C"/>
    <w:rsid w:val="008F35C5"/>
    <w:rsid w:val="008F66E0"/>
    <w:rsid w:val="009002DC"/>
    <w:rsid w:val="0090151C"/>
    <w:rsid w:val="00903CDA"/>
    <w:rsid w:val="00904E61"/>
    <w:rsid w:val="00905ED1"/>
    <w:rsid w:val="00905F71"/>
    <w:rsid w:val="0090727F"/>
    <w:rsid w:val="00911AD2"/>
    <w:rsid w:val="00911C71"/>
    <w:rsid w:val="0091207B"/>
    <w:rsid w:val="00913E2F"/>
    <w:rsid w:val="0091407B"/>
    <w:rsid w:val="0091451A"/>
    <w:rsid w:val="009145DF"/>
    <w:rsid w:val="0091483B"/>
    <w:rsid w:val="00914E1B"/>
    <w:rsid w:val="009160FC"/>
    <w:rsid w:val="009172F1"/>
    <w:rsid w:val="0091743E"/>
    <w:rsid w:val="009216A1"/>
    <w:rsid w:val="00921BE9"/>
    <w:rsid w:val="00922D10"/>
    <w:rsid w:val="009250D3"/>
    <w:rsid w:val="009260BB"/>
    <w:rsid w:val="009261C6"/>
    <w:rsid w:val="00926511"/>
    <w:rsid w:val="00926A0E"/>
    <w:rsid w:val="009307BB"/>
    <w:rsid w:val="00930FB1"/>
    <w:rsid w:val="00930FD6"/>
    <w:rsid w:val="009312D2"/>
    <w:rsid w:val="00931957"/>
    <w:rsid w:val="00932ECB"/>
    <w:rsid w:val="00932FAC"/>
    <w:rsid w:val="009343CD"/>
    <w:rsid w:val="00935991"/>
    <w:rsid w:val="009362FD"/>
    <w:rsid w:val="00936546"/>
    <w:rsid w:val="009401A5"/>
    <w:rsid w:val="00941553"/>
    <w:rsid w:val="009420EF"/>
    <w:rsid w:val="009442C1"/>
    <w:rsid w:val="00944777"/>
    <w:rsid w:val="00944792"/>
    <w:rsid w:val="00944C78"/>
    <w:rsid w:val="0094556C"/>
    <w:rsid w:val="00945582"/>
    <w:rsid w:val="00945A3A"/>
    <w:rsid w:val="00946151"/>
    <w:rsid w:val="009461B0"/>
    <w:rsid w:val="0094653A"/>
    <w:rsid w:val="009479C3"/>
    <w:rsid w:val="00947AFD"/>
    <w:rsid w:val="0095043D"/>
    <w:rsid w:val="00950E65"/>
    <w:rsid w:val="00951606"/>
    <w:rsid w:val="0095209A"/>
    <w:rsid w:val="00952AD4"/>
    <w:rsid w:val="00953401"/>
    <w:rsid w:val="00953651"/>
    <w:rsid w:val="00956107"/>
    <w:rsid w:val="0095667D"/>
    <w:rsid w:val="00961F62"/>
    <w:rsid w:val="00963BB2"/>
    <w:rsid w:val="00963FD7"/>
    <w:rsid w:val="00964E1A"/>
    <w:rsid w:val="0096676D"/>
    <w:rsid w:val="00967946"/>
    <w:rsid w:val="00970038"/>
    <w:rsid w:val="00973CF3"/>
    <w:rsid w:val="00973F9E"/>
    <w:rsid w:val="0097692A"/>
    <w:rsid w:val="00976C6D"/>
    <w:rsid w:val="00977B6E"/>
    <w:rsid w:val="00977FF6"/>
    <w:rsid w:val="00980F8D"/>
    <w:rsid w:val="0098102A"/>
    <w:rsid w:val="00981E8D"/>
    <w:rsid w:val="00981EFA"/>
    <w:rsid w:val="00982266"/>
    <w:rsid w:val="0098350C"/>
    <w:rsid w:val="00985A85"/>
    <w:rsid w:val="00987D33"/>
    <w:rsid w:val="0099179C"/>
    <w:rsid w:val="00991892"/>
    <w:rsid w:val="00992AA9"/>
    <w:rsid w:val="0099308D"/>
    <w:rsid w:val="0099369A"/>
    <w:rsid w:val="009945EF"/>
    <w:rsid w:val="00995CAC"/>
    <w:rsid w:val="00996C61"/>
    <w:rsid w:val="009970FA"/>
    <w:rsid w:val="009979C1"/>
    <w:rsid w:val="00997F28"/>
    <w:rsid w:val="00997FFA"/>
    <w:rsid w:val="009A0B59"/>
    <w:rsid w:val="009A10D6"/>
    <w:rsid w:val="009A1AB2"/>
    <w:rsid w:val="009A2E5D"/>
    <w:rsid w:val="009A4728"/>
    <w:rsid w:val="009A47F3"/>
    <w:rsid w:val="009A5EAF"/>
    <w:rsid w:val="009A7182"/>
    <w:rsid w:val="009A78B6"/>
    <w:rsid w:val="009A7C2B"/>
    <w:rsid w:val="009B0BEA"/>
    <w:rsid w:val="009B5B08"/>
    <w:rsid w:val="009B77CC"/>
    <w:rsid w:val="009B79BC"/>
    <w:rsid w:val="009B7DB2"/>
    <w:rsid w:val="009C0BB0"/>
    <w:rsid w:val="009C0D4D"/>
    <w:rsid w:val="009C12D6"/>
    <w:rsid w:val="009C22B7"/>
    <w:rsid w:val="009C24FC"/>
    <w:rsid w:val="009C26D5"/>
    <w:rsid w:val="009C2C4A"/>
    <w:rsid w:val="009C4178"/>
    <w:rsid w:val="009C42F0"/>
    <w:rsid w:val="009C718E"/>
    <w:rsid w:val="009C7F7A"/>
    <w:rsid w:val="009D2337"/>
    <w:rsid w:val="009D23C5"/>
    <w:rsid w:val="009D3449"/>
    <w:rsid w:val="009D4BB9"/>
    <w:rsid w:val="009D5592"/>
    <w:rsid w:val="009D5E07"/>
    <w:rsid w:val="009D6BD0"/>
    <w:rsid w:val="009D76A8"/>
    <w:rsid w:val="009E0535"/>
    <w:rsid w:val="009E1548"/>
    <w:rsid w:val="009E3045"/>
    <w:rsid w:val="009E550D"/>
    <w:rsid w:val="009E6C2F"/>
    <w:rsid w:val="009E6EC9"/>
    <w:rsid w:val="009F0A88"/>
    <w:rsid w:val="009F0C46"/>
    <w:rsid w:val="009F2084"/>
    <w:rsid w:val="009F25DF"/>
    <w:rsid w:val="009F27ED"/>
    <w:rsid w:val="009F300A"/>
    <w:rsid w:val="009F3DCC"/>
    <w:rsid w:val="009F4CFC"/>
    <w:rsid w:val="009F733B"/>
    <w:rsid w:val="009F7786"/>
    <w:rsid w:val="009F7C28"/>
    <w:rsid w:val="00A01177"/>
    <w:rsid w:val="00A01303"/>
    <w:rsid w:val="00A01D1F"/>
    <w:rsid w:val="00A03FBD"/>
    <w:rsid w:val="00A04879"/>
    <w:rsid w:val="00A05A66"/>
    <w:rsid w:val="00A05C69"/>
    <w:rsid w:val="00A076E4"/>
    <w:rsid w:val="00A1012F"/>
    <w:rsid w:val="00A108A6"/>
    <w:rsid w:val="00A108B1"/>
    <w:rsid w:val="00A11BFD"/>
    <w:rsid w:val="00A12AA0"/>
    <w:rsid w:val="00A1343B"/>
    <w:rsid w:val="00A15FBD"/>
    <w:rsid w:val="00A16C70"/>
    <w:rsid w:val="00A20D4C"/>
    <w:rsid w:val="00A21476"/>
    <w:rsid w:val="00A2368F"/>
    <w:rsid w:val="00A238D6"/>
    <w:rsid w:val="00A2538C"/>
    <w:rsid w:val="00A25D52"/>
    <w:rsid w:val="00A2602F"/>
    <w:rsid w:val="00A2674A"/>
    <w:rsid w:val="00A26915"/>
    <w:rsid w:val="00A270A4"/>
    <w:rsid w:val="00A31277"/>
    <w:rsid w:val="00A3141F"/>
    <w:rsid w:val="00A314B5"/>
    <w:rsid w:val="00A344F7"/>
    <w:rsid w:val="00A34F4E"/>
    <w:rsid w:val="00A35B90"/>
    <w:rsid w:val="00A35D1A"/>
    <w:rsid w:val="00A36183"/>
    <w:rsid w:val="00A36454"/>
    <w:rsid w:val="00A37668"/>
    <w:rsid w:val="00A404A7"/>
    <w:rsid w:val="00A40837"/>
    <w:rsid w:val="00A40EF8"/>
    <w:rsid w:val="00A41A50"/>
    <w:rsid w:val="00A41BA8"/>
    <w:rsid w:val="00A45465"/>
    <w:rsid w:val="00A4566E"/>
    <w:rsid w:val="00A4600E"/>
    <w:rsid w:val="00A50A31"/>
    <w:rsid w:val="00A5111B"/>
    <w:rsid w:val="00A52ED1"/>
    <w:rsid w:val="00A53B0D"/>
    <w:rsid w:val="00A569F2"/>
    <w:rsid w:val="00A600D8"/>
    <w:rsid w:val="00A6016E"/>
    <w:rsid w:val="00A60953"/>
    <w:rsid w:val="00A62260"/>
    <w:rsid w:val="00A627F4"/>
    <w:rsid w:val="00A628E3"/>
    <w:rsid w:val="00A63B10"/>
    <w:rsid w:val="00A64135"/>
    <w:rsid w:val="00A661E0"/>
    <w:rsid w:val="00A66F89"/>
    <w:rsid w:val="00A6722B"/>
    <w:rsid w:val="00A67EB0"/>
    <w:rsid w:val="00A70ED3"/>
    <w:rsid w:val="00A71499"/>
    <w:rsid w:val="00A716EE"/>
    <w:rsid w:val="00A71DDE"/>
    <w:rsid w:val="00A7246F"/>
    <w:rsid w:val="00A74F31"/>
    <w:rsid w:val="00A76658"/>
    <w:rsid w:val="00A769C6"/>
    <w:rsid w:val="00A77E43"/>
    <w:rsid w:val="00A8062F"/>
    <w:rsid w:val="00A80D9F"/>
    <w:rsid w:val="00A826AC"/>
    <w:rsid w:val="00A829C2"/>
    <w:rsid w:val="00A82D03"/>
    <w:rsid w:val="00A858CA"/>
    <w:rsid w:val="00A867FF"/>
    <w:rsid w:val="00A86942"/>
    <w:rsid w:val="00A90B96"/>
    <w:rsid w:val="00A912A1"/>
    <w:rsid w:val="00A91CC4"/>
    <w:rsid w:val="00A92576"/>
    <w:rsid w:val="00A9334A"/>
    <w:rsid w:val="00A93DC6"/>
    <w:rsid w:val="00A951B4"/>
    <w:rsid w:val="00A95588"/>
    <w:rsid w:val="00A95884"/>
    <w:rsid w:val="00A95D78"/>
    <w:rsid w:val="00A975DE"/>
    <w:rsid w:val="00A97B00"/>
    <w:rsid w:val="00A97B44"/>
    <w:rsid w:val="00AA2250"/>
    <w:rsid w:val="00AA23B4"/>
    <w:rsid w:val="00AA25F0"/>
    <w:rsid w:val="00AA29AA"/>
    <w:rsid w:val="00AA3A59"/>
    <w:rsid w:val="00AA3BAD"/>
    <w:rsid w:val="00AA485D"/>
    <w:rsid w:val="00AA554D"/>
    <w:rsid w:val="00AA57E1"/>
    <w:rsid w:val="00AA647A"/>
    <w:rsid w:val="00AA65BA"/>
    <w:rsid w:val="00AA6961"/>
    <w:rsid w:val="00AA77FB"/>
    <w:rsid w:val="00AB00F7"/>
    <w:rsid w:val="00AB0364"/>
    <w:rsid w:val="00AB12C3"/>
    <w:rsid w:val="00AB23B6"/>
    <w:rsid w:val="00AB2CA8"/>
    <w:rsid w:val="00AB396D"/>
    <w:rsid w:val="00AB3F6B"/>
    <w:rsid w:val="00AB400C"/>
    <w:rsid w:val="00AB44EC"/>
    <w:rsid w:val="00AB47FE"/>
    <w:rsid w:val="00AB4EEB"/>
    <w:rsid w:val="00AB5ACD"/>
    <w:rsid w:val="00AB6E68"/>
    <w:rsid w:val="00AB6F88"/>
    <w:rsid w:val="00AB7227"/>
    <w:rsid w:val="00AB7A5F"/>
    <w:rsid w:val="00AB7EE9"/>
    <w:rsid w:val="00AC1FBD"/>
    <w:rsid w:val="00AC28AB"/>
    <w:rsid w:val="00AC3D15"/>
    <w:rsid w:val="00AC4407"/>
    <w:rsid w:val="00AC4828"/>
    <w:rsid w:val="00AC4ACC"/>
    <w:rsid w:val="00AC7F10"/>
    <w:rsid w:val="00AD0774"/>
    <w:rsid w:val="00AD1443"/>
    <w:rsid w:val="00AD1B8D"/>
    <w:rsid w:val="00AD2693"/>
    <w:rsid w:val="00AD29C4"/>
    <w:rsid w:val="00AD2C7A"/>
    <w:rsid w:val="00AD303F"/>
    <w:rsid w:val="00AD34BA"/>
    <w:rsid w:val="00AD59FE"/>
    <w:rsid w:val="00AD6F6E"/>
    <w:rsid w:val="00AE0ED8"/>
    <w:rsid w:val="00AE21DF"/>
    <w:rsid w:val="00AE26A9"/>
    <w:rsid w:val="00AE2AF6"/>
    <w:rsid w:val="00AE3795"/>
    <w:rsid w:val="00AE4210"/>
    <w:rsid w:val="00AE557E"/>
    <w:rsid w:val="00AE5645"/>
    <w:rsid w:val="00AE5AF4"/>
    <w:rsid w:val="00AE6713"/>
    <w:rsid w:val="00AE6BBB"/>
    <w:rsid w:val="00AE6C54"/>
    <w:rsid w:val="00AF1ECE"/>
    <w:rsid w:val="00AF27F1"/>
    <w:rsid w:val="00AF40B2"/>
    <w:rsid w:val="00AF4653"/>
    <w:rsid w:val="00AF607F"/>
    <w:rsid w:val="00AF643F"/>
    <w:rsid w:val="00B00449"/>
    <w:rsid w:val="00B0307A"/>
    <w:rsid w:val="00B03C69"/>
    <w:rsid w:val="00B03EB8"/>
    <w:rsid w:val="00B044C4"/>
    <w:rsid w:val="00B062F0"/>
    <w:rsid w:val="00B077DF"/>
    <w:rsid w:val="00B078D2"/>
    <w:rsid w:val="00B07F07"/>
    <w:rsid w:val="00B10145"/>
    <w:rsid w:val="00B10AF4"/>
    <w:rsid w:val="00B10CBE"/>
    <w:rsid w:val="00B110DF"/>
    <w:rsid w:val="00B11647"/>
    <w:rsid w:val="00B11EF3"/>
    <w:rsid w:val="00B124EE"/>
    <w:rsid w:val="00B1378F"/>
    <w:rsid w:val="00B146F7"/>
    <w:rsid w:val="00B21304"/>
    <w:rsid w:val="00B22B4C"/>
    <w:rsid w:val="00B23020"/>
    <w:rsid w:val="00B238F7"/>
    <w:rsid w:val="00B241AA"/>
    <w:rsid w:val="00B24F71"/>
    <w:rsid w:val="00B25121"/>
    <w:rsid w:val="00B25368"/>
    <w:rsid w:val="00B263FF"/>
    <w:rsid w:val="00B268E0"/>
    <w:rsid w:val="00B26970"/>
    <w:rsid w:val="00B26C29"/>
    <w:rsid w:val="00B30AF0"/>
    <w:rsid w:val="00B31380"/>
    <w:rsid w:val="00B3171F"/>
    <w:rsid w:val="00B319B0"/>
    <w:rsid w:val="00B31FC5"/>
    <w:rsid w:val="00B325A1"/>
    <w:rsid w:val="00B328DD"/>
    <w:rsid w:val="00B337F7"/>
    <w:rsid w:val="00B33954"/>
    <w:rsid w:val="00B34D1B"/>
    <w:rsid w:val="00B36079"/>
    <w:rsid w:val="00B36AB9"/>
    <w:rsid w:val="00B37B80"/>
    <w:rsid w:val="00B42235"/>
    <w:rsid w:val="00B44FCE"/>
    <w:rsid w:val="00B470C0"/>
    <w:rsid w:val="00B47C88"/>
    <w:rsid w:val="00B503FE"/>
    <w:rsid w:val="00B508C9"/>
    <w:rsid w:val="00B519BA"/>
    <w:rsid w:val="00B51DBA"/>
    <w:rsid w:val="00B520BC"/>
    <w:rsid w:val="00B52790"/>
    <w:rsid w:val="00B52DCF"/>
    <w:rsid w:val="00B54CFD"/>
    <w:rsid w:val="00B55BC9"/>
    <w:rsid w:val="00B56457"/>
    <w:rsid w:val="00B57430"/>
    <w:rsid w:val="00B57F99"/>
    <w:rsid w:val="00B611A6"/>
    <w:rsid w:val="00B61EDE"/>
    <w:rsid w:val="00B61FE1"/>
    <w:rsid w:val="00B62B65"/>
    <w:rsid w:val="00B64E7F"/>
    <w:rsid w:val="00B65326"/>
    <w:rsid w:val="00B670F1"/>
    <w:rsid w:val="00B71B4B"/>
    <w:rsid w:val="00B7307E"/>
    <w:rsid w:val="00B7331B"/>
    <w:rsid w:val="00B7336B"/>
    <w:rsid w:val="00B7403B"/>
    <w:rsid w:val="00B7578B"/>
    <w:rsid w:val="00B75C00"/>
    <w:rsid w:val="00B7607B"/>
    <w:rsid w:val="00B76AA7"/>
    <w:rsid w:val="00B77D49"/>
    <w:rsid w:val="00B8021F"/>
    <w:rsid w:val="00B8033F"/>
    <w:rsid w:val="00B80507"/>
    <w:rsid w:val="00B805B6"/>
    <w:rsid w:val="00B81DD8"/>
    <w:rsid w:val="00B82022"/>
    <w:rsid w:val="00B827E6"/>
    <w:rsid w:val="00B830EF"/>
    <w:rsid w:val="00B83ED7"/>
    <w:rsid w:val="00B84229"/>
    <w:rsid w:val="00B8449D"/>
    <w:rsid w:val="00B85F65"/>
    <w:rsid w:val="00B86E37"/>
    <w:rsid w:val="00B86F8A"/>
    <w:rsid w:val="00B878AE"/>
    <w:rsid w:val="00B90015"/>
    <w:rsid w:val="00B9077F"/>
    <w:rsid w:val="00B90FB5"/>
    <w:rsid w:val="00B91217"/>
    <w:rsid w:val="00B92A91"/>
    <w:rsid w:val="00B93DB7"/>
    <w:rsid w:val="00B95DFD"/>
    <w:rsid w:val="00B97AFA"/>
    <w:rsid w:val="00BA2C43"/>
    <w:rsid w:val="00BA32E2"/>
    <w:rsid w:val="00BA3AB1"/>
    <w:rsid w:val="00BA4769"/>
    <w:rsid w:val="00BA4BEA"/>
    <w:rsid w:val="00BA4C5B"/>
    <w:rsid w:val="00BA4CD7"/>
    <w:rsid w:val="00BA50CC"/>
    <w:rsid w:val="00BA6725"/>
    <w:rsid w:val="00BA721B"/>
    <w:rsid w:val="00BA7EB8"/>
    <w:rsid w:val="00BB02CD"/>
    <w:rsid w:val="00BB08EE"/>
    <w:rsid w:val="00BB144A"/>
    <w:rsid w:val="00BB151B"/>
    <w:rsid w:val="00BB2E83"/>
    <w:rsid w:val="00BB3D57"/>
    <w:rsid w:val="00BB4AB2"/>
    <w:rsid w:val="00BB53D9"/>
    <w:rsid w:val="00BB6394"/>
    <w:rsid w:val="00BB6E56"/>
    <w:rsid w:val="00BB6FED"/>
    <w:rsid w:val="00BC0D74"/>
    <w:rsid w:val="00BC2527"/>
    <w:rsid w:val="00BC2DB9"/>
    <w:rsid w:val="00BC35B9"/>
    <w:rsid w:val="00BC3966"/>
    <w:rsid w:val="00BC4D3D"/>
    <w:rsid w:val="00BC5AA0"/>
    <w:rsid w:val="00BC6B11"/>
    <w:rsid w:val="00BC6F11"/>
    <w:rsid w:val="00BC73DB"/>
    <w:rsid w:val="00BC7435"/>
    <w:rsid w:val="00BC7730"/>
    <w:rsid w:val="00BC7E94"/>
    <w:rsid w:val="00BD0091"/>
    <w:rsid w:val="00BD0E00"/>
    <w:rsid w:val="00BD1D2C"/>
    <w:rsid w:val="00BD2CDC"/>
    <w:rsid w:val="00BD352A"/>
    <w:rsid w:val="00BD64EC"/>
    <w:rsid w:val="00BD72D0"/>
    <w:rsid w:val="00BE26B3"/>
    <w:rsid w:val="00BE26E6"/>
    <w:rsid w:val="00BE3193"/>
    <w:rsid w:val="00BE3439"/>
    <w:rsid w:val="00BE4953"/>
    <w:rsid w:val="00BE4D5C"/>
    <w:rsid w:val="00BE5449"/>
    <w:rsid w:val="00BE6599"/>
    <w:rsid w:val="00BE6D83"/>
    <w:rsid w:val="00BE6F08"/>
    <w:rsid w:val="00BE796E"/>
    <w:rsid w:val="00BE7DAA"/>
    <w:rsid w:val="00BF054A"/>
    <w:rsid w:val="00BF1CC1"/>
    <w:rsid w:val="00BF1FA6"/>
    <w:rsid w:val="00BF4334"/>
    <w:rsid w:val="00BF43CC"/>
    <w:rsid w:val="00BF4665"/>
    <w:rsid w:val="00BF52D1"/>
    <w:rsid w:val="00BF78ED"/>
    <w:rsid w:val="00BF7C5D"/>
    <w:rsid w:val="00BF7F35"/>
    <w:rsid w:val="00C00C98"/>
    <w:rsid w:val="00C01224"/>
    <w:rsid w:val="00C015E9"/>
    <w:rsid w:val="00C03785"/>
    <w:rsid w:val="00C038ED"/>
    <w:rsid w:val="00C039FB"/>
    <w:rsid w:val="00C04BCF"/>
    <w:rsid w:val="00C04CF6"/>
    <w:rsid w:val="00C04EEA"/>
    <w:rsid w:val="00C0570A"/>
    <w:rsid w:val="00C064FE"/>
    <w:rsid w:val="00C065E1"/>
    <w:rsid w:val="00C06A9D"/>
    <w:rsid w:val="00C0748C"/>
    <w:rsid w:val="00C07DAD"/>
    <w:rsid w:val="00C10E5B"/>
    <w:rsid w:val="00C11E95"/>
    <w:rsid w:val="00C12937"/>
    <w:rsid w:val="00C1307C"/>
    <w:rsid w:val="00C1361D"/>
    <w:rsid w:val="00C14F44"/>
    <w:rsid w:val="00C150AC"/>
    <w:rsid w:val="00C15439"/>
    <w:rsid w:val="00C1573C"/>
    <w:rsid w:val="00C222F6"/>
    <w:rsid w:val="00C22F64"/>
    <w:rsid w:val="00C23C71"/>
    <w:rsid w:val="00C23D8B"/>
    <w:rsid w:val="00C24276"/>
    <w:rsid w:val="00C24B3A"/>
    <w:rsid w:val="00C24F42"/>
    <w:rsid w:val="00C25A13"/>
    <w:rsid w:val="00C26D7F"/>
    <w:rsid w:val="00C27F7D"/>
    <w:rsid w:val="00C3024E"/>
    <w:rsid w:val="00C30481"/>
    <w:rsid w:val="00C31690"/>
    <w:rsid w:val="00C31D71"/>
    <w:rsid w:val="00C33547"/>
    <w:rsid w:val="00C33CF4"/>
    <w:rsid w:val="00C35A65"/>
    <w:rsid w:val="00C361A3"/>
    <w:rsid w:val="00C3708F"/>
    <w:rsid w:val="00C379FA"/>
    <w:rsid w:val="00C45A2C"/>
    <w:rsid w:val="00C47F31"/>
    <w:rsid w:val="00C5016A"/>
    <w:rsid w:val="00C50520"/>
    <w:rsid w:val="00C5099D"/>
    <w:rsid w:val="00C546C0"/>
    <w:rsid w:val="00C54A53"/>
    <w:rsid w:val="00C555AC"/>
    <w:rsid w:val="00C55AA4"/>
    <w:rsid w:val="00C55DE4"/>
    <w:rsid w:val="00C567BA"/>
    <w:rsid w:val="00C56E96"/>
    <w:rsid w:val="00C60C8B"/>
    <w:rsid w:val="00C611D2"/>
    <w:rsid w:val="00C62E4D"/>
    <w:rsid w:val="00C640A2"/>
    <w:rsid w:val="00C642AE"/>
    <w:rsid w:val="00C64FDB"/>
    <w:rsid w:val="00C66DCD"/>
    <w:rsid w:val="00C71143"/>
    <w:rsid w:val="00C71D6F"/>
    <w:rsid w:val="00C7222D"/>
    <w:rsid w:val="00C74628"/>
    <w:rsid w:val="00C746E3"/>
    <w:rsid w:val="00C763F3"/>
    <w:rsid w:val="00C77379"/>
    <w:rsid w:val="00C77559"/>
    <w:rsid w:val="00C80807"/>
    <w:rsid w:val="00C80D4D"/>
    <w:rsid w:val="00C831A0"/>
    <w:rsid w:val="00C83AA3"/>
    <w:rsid w:val="00C84E11"/>
    <w:rsid w:val="00C85E99"/>
    <w:rsid w:val="00C8667A"/>
    <w:rsid w:val="00C86A7C"/>
    <w:rsid w:val="00C86ADF"/>
    <w:rsid w:val="00C877DA"/>
    <w:rsid w:val="00C87839"/>
    <w:rsid w:val="00C923B8"/>
    <w:rsid w:val="00C92B22"/>
    <w:rsid w:val="00C93A73"/>
    <w:rsid w:val="00C94C39"/>
    <w:rsid w:val="00CA08C3"/>
    <w:rsid w:val="00CA09D3"/>
    <w:rsid w:val="00CA0DEA"/>
    <w:rsid w:val="00CA1261"/>
    <w:rsid w:val="00CA259B"/>
    <w:rsid w:val="00CA272C"/>
    <w:rsid w:val="00CA28A1"/>
    <w:rsid w:val="00CA31BC"/>
    <w:rsid w:val="00CA3897"/>
    <w:rsid w:val="00CA453C"/>
    <w:rsid w:val="00CA665F"/>
    <w:rsid w:val="00CA6B7E"/>
    <w:rsid w:val="00CB0301"/>
    <w:rsid w:val="00CB1759"/>
    <w:rsid w:val="00CB2DD1"/>
    <w:rsid w:val="00CB30F8"/>
    <w:rsid w:val="00CB4857"/>
    <w:rsid w:val="00CB6B00"/>
    <w:rsid w:val="00CC0D01"/>
    <w:rsid w:val="00CC7463"/>
    <w:rsid w:val="00CD061E"/>
    <w:rsid w:val="00CD121E"/>
    <w:rsid w:val="00CD35E8"/>
    <w:rsid w:val="00CD5F95"/>
    <w:rsid w:val="00CD66E8"/>
    <w:rsid w:val="00CE11AC"/>
    <w:rsid w:val="00CE1D62"/>
    <w:rsid w:val="00CE6C3E"/>
    <w:rsid w:val="00CE753E"/>
    <w:rsid w:val="00CE7950"/>
    <w:rsid w:val="00CF1DD7"/>
    <w:rsid w:val="00CF4C5E"/>
    <w:rsid w:val="00CF5A08"/>
    <w:rsid w:val="00CF6F22"/>
    <w:rsid w:val="00CF7585"/>
    <w:rsid w:val="00CF7A81"/>
    <w:rsid w:val="00CF7E2E"/>
    <w:rsid w:val="00D01D18"/>
    <w:rsid w:val="00D0251D"/>
    <w:rsid w:val="00D02917"/>
    <w:rsid w:val="00D0399E"/>
    <w:rsid w:val="00D03D1E"/>
    <w:rsid w:val="00D04FEA"/>
    <w:rsid w:val="00D0749D"/>
    <w:rsid w:val="00D07A4A"/>
    <w:rsid w:val="00D07D9C"/>
    <w:rsid w:val="00D11BDD"/>
    <w:rsid w:val="00D11C53"/>
    <w:rsid w:val="00D125C6"/>
    <w:rsid w:val="00D12D4F"/>
    <w:rsid w:val="00D13B6C"/>
    <w:rsid w:val="00D14DAB"/>
    <w:rsid w:val="00D15E29"/>
    <w:rsid w:val="00D201F7"/>
    <w:rsid w:val="00D203E8"/>
    <w:rsid w:val="00D20C16"/>
    <w:rsid w:val="00D22AE7"/>
    <w:rsid w:val="00D23253"/>
    <w:rsid w:val="00D2357A"/>
    <w:rsid w:val="00D2611D"/>
    <w:rsid w:val="00D26E94"/>
    <w:rsid w:val="00D273D4"/>
    <w:rsid w:val="00D27A1E"/>
    <w:rsid w:val="00D3083E"/>
    <w:rsid w:val="00D30E25"/>
    <w:rsid w:val="00D31D72"/>
    <w:rsid w:val="00D353A4"/>
    <w:rsid w:val="00D357F5"/>
    <w:rsid w:val="00D3637B"/>
    <w:rsid w:val="00D37732"/>
    <w:rsid w:val="00D37E0C"/>
    <w:rsid w:val="00D400B8"/>
    <w:rsid w:val="00D41866"/>
    <w:rsid w:val="00D41DC9"/>
    <w:rsid w:val="00D41EE6"/>
    <w:rsid w:val="00D42129"/>
    <w:rsid w:val="00D472C2"/>
    <w:rsid w:val="00D47CEE"/>
    <w:rsid w:val="00D516E8"/>
    <w:rsid w:val="00D518B3"/>
    <w:rsid w:val="00D52183"/>
    <w:rsid w:val="00D5218C"/>
    <w:rsid w:val="00D52765"/>
    <w:rsid w:val="00D53648"/>
    <w:rsid w:val="00D53D47"/>
    <w:rsid w:val="00D568BD"/>
    <w:rsid w:val="00D63237"/>
    <w:rsid w:val="00D66CD9"/>
    <w:rsid w:val="00D6750A"/>
    <w:rsid w:val="00D70321"/>
    <w:rsid w:val="00D706AC"/>
    <w:rsid w:val="00D70DA1"/>
    <w:rsid w:val="00D72443"/>
    <w:rsid w:val="00D73A5E"/>
    <w:rsid w:val="00D75995"/>
    <w:rsid w:val="00D803E2"/>
    <w:rsid w:val="00D80F9F"/>
    <w:rsid w:val="00D8209B"/>
    <w:rsid w:val="00D832C6"/>
    <w:rsid w:val="00D832EC"/>
    <w:rsid w:val="00D83672"/>
    <w:rsid w:val="00D837C2"/>
    <w:rsid w:val="00D838D5"/>
    <w:rsid w:val="00D8394A"/>
    <w:rsid w:val="00D84BD7"/>
    <w:rsid w:val="00D850EE"/>
    <w:rsid w:val="00D85332"/>
    <w:rsid w:val="00D86CC5"/>
    <w:rsid w:val="00D901CE"/>
    <w:rsid w:val="00D90C3E"/>
    <w:rsid w:val="00D90D68"/>
    <w:rsid w:val="00D937E0"/>
    <w:rsid w:val="00D93DB2"/>
    <w:rsid w:val="00D96517"/>
    <w:rsid w:val="00D96A6E"/>
    <w:rsid w:val="00DA012B"/>
    <w:rsid w:val="00DA255B"/>
    <w:rsid w:val="00DA4127"/>
    <w:rsid w:val="00DA4651"/>
    <w:rsid w:val="00DA523B"/>
    <w:rsid w:val="00DA6EF4"/>
    <w:rsid w:val="00DA7ABC"/>
    <w:rsid w:val="00DB1471"/>
    <w:rsid w:val="00DB1F29"/>
    <w:rsid w:val="00DB38A7"/>
    <w:rsid w:val="00DB460E"/>
    <w:rsid w:val="00DB4F9E"/>
    <w:rsid w:val="00DB5097"/>
    <w:rsid w:val="00DB5371"/>
    <w:rsid w:val="00DB5620"/>
    <w:rsid w:val="00DB5875"/>
    <w:rsid w:val="00DB6019"/>
    <w:rsid w:val="00DB6263"/>
    <w:rsid w:val="00DC1FAC"/>
    <w:rsid w:val="00DC21C9"/>
    <w:rsid w:val="00DC513E"/>
    <w:rsid w:val="00DC5F31"/>
    <w:rsid w:val="00DC6D21"/>
    <w:rsid w:val="00DD0875"/>
    <w:rsid w:val="00DD0F8B"/>
    <w:rsid w:val="00DD1481"/>
    <w:rsid w:val="00DD1793"/>
    <w:rsid w:val="00DD34C1"/>
    <w:rsid w:val="00DD4945"/>
    <w:rsid w:val="00DD73F3"/>
    <w:rsid w:val="00DD78A7"/>
    <w:rsid w:val="00DD7900"/>
    <w:rsid w:val="00DE116A"/>
    <w:rsid w:val="00DE26E8"/>
    <w:rsid w:val="00DE29EC"/>
    <w:rsid w:val="00DE40C6"/>
    <w:rsid w:val="00DE4AFA"/>
    <w:rsid w:val="00DE4E81"/>
    <w:rsid w:val="00DE5F71"/>
    <w:rsid w:val="00DE7481"/>
    <w:rsid w:val="00DF1384"/>
    <w:rsid w:val="00DF1949"/>
    <w:rsid w:val="00DF1F9E"/>
    <w:rsid w:val="00DF4355"/>
    <w:rsid w:val="00DF55FE"/>
    <w:rsid w:val="00DF662D"/>
    <w:rsid w:val="00DF7A2B"/>
    <w:rsid w:val="00E00641"/>
    <w:rsid w:val="00E019B9"/>
    <w:rsid w:val="00E02572"/>
    <w:rsid w:val="00E03ECA"/>
    <w:rsid w:val="00E05105"/>
    <w:rsid w:val="00E05ED5"/>
    <w:rsid w:val="00E10FAF"/>
    <w:rsid w:val="00E12931"/>
    <w:rsid w:val="00E12BFD"/>
    <w:rsid w:val="00E13FEE"/>
    <w:rsid w:val="00E141C8"/>
    <w:rsid w:val="00E15672"/>
    <w:rsid w:val="00E15E51"/>
    <w:rsid w:val="00E165CF"/>
    <w:rsid w:val="00E17160"/>
    <w:rsid w:val="00E17EB9"/>
    <w:rsid w:val="00E21072"/>
    <w:rsid w:val="00E24623"/>
    <w:rsid w:val="00E24829"/>
    <w:rsid w:val="00E2492C"/>
    <w:rsid w:val="00E25A82"/>
    <w:rsid w:val="00E260AA"/>
    <w:rsid w:val="00E26349"/>
    <w:rsid w:val="00E264FE"/>
    <w:rsid w:val="00E26EE1"/>
    <w:rsid w:val="00E30E29"/>
    <w:rsid w:val="00E3171E"/>
    <w:rsid w:val="00E31952"/>
    <w:rsid w:val="00E31F14"/>
    <w:rsid w:val="00E31F9B"/>
    <w:rsid w:val="00E3242A"/>
    <w:rsid w:val="00E331A6"/>
    <w:rsid w:val="00E33470"/>
    <w:rsid w:val="00E33722"/>
    <w:rsid w:val="00E35094"/>
    <w:rsid w:val="00E35234"/>
    <w:rsid w:val="00E353BA"/>
    <w:rsid w:val="00E36119"/>
    <w:rsid w:val="00E4021F"/>
    <w:rsid w:val="00E40648"/>
    <w:rsid w:val="00E4072C"/>
    <w:rsid w:val="00E4210B"/>
    <w:rsid w:val="00E427AB"/>
    <w:rsid w:val="00E442B0"/>
    <w:rsid w:val="00E445EB"/>
    <w:rsid w:val="00E45A3C"/>
    <w:rsid w:val="00E467B1"/>
    <w:rsid w:val="00E502F1"/>
    <w:rsid w:val="00E50660"/>
    <w:rsid w:val="00E511E4"/>
    <w:rsid w:val="00E52BC4"/>
    <w:rsid w:val="00E5440C"/>
    <w:rsid w:val="00E57B32"/>
    <w:rsid w:val="00E57C9F"/>
    <w:rsid w:val="00E61F07"/>
    <w:rsid w:val="00E62256"/>
    <w:rsid w:val="00E65612"/>
    <w:rsid w:val="00E65B5B"/>
    <w:rsid w:val="00E66CBB"/>
    <w:rsid w:val="00E67686"/>
    <w:rsid w:val="00E701E7"/>
    <w:rsid w:val="00E70482"/>
    <w:rsid w:val="00E70F9D"/>
    <w:rsid w:val="00E718D9"/>
    <w:rsid w:val="00E723FB"/>
    <w:rsid w:val="00E7313A"/>
    <w:rsid w:val="00E7368A"/>
    <w:rsid w:val="00E744BB"/>
    <w:rsid w:val="00E74AFF"/>
    <w:rsid w:val="00E7612B"/>
    <w:rsid w:val="00E772A2"/>
    <w:rsid w:val="00E7789D"/>
    <w:rsid w:val="00E7794B"/>
    <w:rsid w:val="00E81315"/>
    <w:rsid w:val="00E81C28"/>
    <w:rsid w:val="00E81C45"/>
    <w:rsid w:val="00E81EEB"/>
    <w:rsid w:val="00E82C75"/>
    <w:rsid w:val="00E8473B"/>
    <w:rsid w:val="00E847EB"/>
    <w:rsid w:val="00E84BE3"/>
    <w:rsid w:val="00E858AF"/>
    <w:rsid w:val="00E859A3"/>
    <w:rsid w:val="00E870EE"/>
    <w:rsid w:val="00E87420"/>
    <w:rsid w:val="00E90B36"/>
    <w:rsid w:val="00E91DE5"/>
    <w:rsid w:val="00E955C2"/>
    <w:rsid w:val="00E977F6"/>
    <w:rsid w:val="00EA106A"/>
    <w:rsid w:val="00EA3581"/>
    <w:rsid w:val="00EA4B92"/>
    <w:rsid w:val="00EA4E6A"/>
    <w:rsid w:val="00EA5243"/>
    <w:rsid w:val="00EA5DFC"/>
    <w:rsid w:val="00EA61C1"/>
    <w:rsid w:val="00EA6FC3"/>
    <w:rsid w:val="00EA72F8"/>
    <w:rsid w:val="00EA7F82"/>
    <w:rsid w:val="00EB0580"/>
    <w:rsid w:val="00EB0E9D"/>
    <w:rsid w:val="00EB2705"/>
    <w:rsid w:val="00EB45D8"/>
    <w:rsid w:val="00EB55DF"/>
    <w:rsid w:val="00EB63AA"/>
    <w:rsid w:val="00EB707D"/>
    <w:rsid w:val="00EB7BC6"/>
    <w:rsid w:val="00EB7D68"/>
    <w:rsid w:val="00EC0654"/>
    <w:rsid w:val="00EC0D70"/>
    <w:rsid w:val="00EC16F2"/>
    <w:rsid w:val="00EC1735"/>
    <w:rsid w:val="00EC3455"/>
    <w:rsid w:val="00EC3A46"/>
    <w:rsid w:val="00EC43A8"/>
    <w:rsid w:val="00EC4F8A"/>
    <w:rsid w:val="00EC6068"/>
    <w:rsid w:val="00ED0F11"/>
    <w:rsid w:val="00ED1035"/>
    <w:rsid w:val="00ED1692"/>
    <w:rsid w:val="00ED1979"/>
    <w:rsid w:val="00ED30BD"/>
    <w:rsid w:val="00ED3260"/>
    <w:rsid w:val="00ED4093"/>
    <w:rsid w:val="00ED44D8"/>
    <w:rsid w:val="00ED502D"/>
    <w:rsid w:val="00EE2B19"/>
    <w:rsid w:val="00EE4D6F"/>
    <w:rsid w:val="00EE6FD1"/>
    <w:rsid w:val="00EE72EB"/>
    <w:rsid w:val="00EF132C"/>
    <w:rsid w:val="00EF1C06"/>
    <w:rsid w:val="00EF1EFB"/>
    <w:rsid w:val="00EF1F4A"/>
    <w:rsid w:val="00EF2AD8"/>
    <w:rsid w:val="00EF33AC"/>
    <w:rsid w:val="00EF51C8"/>
    <w:rsid w:val="00EF5867"/>
    <w:rsid w:val="00EF5CBE"/>
    <w:rsid w:val="00F000FD"/>
    <w:rsid w:val="00F00595"/>
    <w:rsid w:val="00F00814"/>
    <w:rsid w:val="00F01507"/>
    <w:rsid w:val="00F02CC5"/>
    <w:rsid w:val="00F0430F"/>
    <w:rsid w:val="00F054FC"/>
    <w:rsid w:val="00F11614"/>
    <w:rsid w:val="00F136CA"/>
    <w:rsid w:val="00F13E70"/>
    <w:rsid w:val="00F16961"/>
    <w:rsid w:val="00F17318"/>
    <w:rsid w:val="00F17931"/>
    <w:rsid w:val="00F207F4"/>
    <w:rsid w:val="00F22205"/>
    <w:rsid w:val="00F22982"/>
    <w:rsid w:val="00F2336C"/>
    <w:rsid w:val="00F23B21"/>
    <w:rsid w:val="00F251D3"/>
    <w:rsid w:val="00F25A61"/>
    <w:rsid w:val="00F25ABD"/>
    <w:rsid w:val="00F26715"/>
    <w:rsid w:val="00F26741"/>
    <w:rsid w:val="00F3124F"/>
    <w:rsid w:val="00F316F9"/>
    <w:rsid w:val="00F33501"/>
    <w:rsid w:val="00F3371E"/>
    <w:rsid w:val="00F33E68"/>
    <w:rsid w:val="00F356EE"/>
    <w:rsid w:val="00F356F1"/>
    <w:rsid w:val="00F366B3"/>
    <w:rsid w:val="00F36F61"/>
    <w:rsid w:val="00F4049E"/>
    <w:rsid w:val="00F412D8"/>
    <w:rsid w:val="00F41AD9"/>
    <w:rsid w:val="00F42549"/>
    <w:rsid w:val="00F43A66"/>
    <w:rsid w:val="00F43ADC"/>
    <w:rsid w:val="00F4553F"/>
    <w:rsid w:val="00F45AD1"/>
    <w:rsid w:val="00F46A43"/>
    <w:rsid w:val="00F47C3F"/>
    <w:rsid w:val="00F50703"/>
    <w:rsid w:val="00F50BDE"/>
    <w:rsid w:val="00F50EC0"/>
    <w:rsid w:val="00F51A55"/>
    <w:rsid w:val="00F51CF5"/>
    <w:rsid w:val="00F5235C"/>
    <w:rsid w:val="00F52C35"/>
    <w:rsid w:val="00F53DE5"/>
    <w:rsid w:val="00F56113"/>
    <w:rsid w:val="00F56A2C"/>
    <w:rsid w:val="00F571F7"/>
    <w:rsid w:val="00F60B5F"/>
    <w:rsid w:val="00F62417"/>
    <w:rsid w:val="00F6273F"/>
    <w:rsid w:val="00F63D3D"/>
    <w:rsid w:val="00F646BD"/>
    <w:rsid w:val="00F6589B"/>
    <w:rsid w:val="00F6666B"/>
    <w:rsid w:val="00F67B53"/>
    <w:rsid w:val="00F7049A"/>
    <w:rsid w:val="00F7056D"/>
    <w:rsid w:val="00F70894"/>
    <w:rsid w:val="00F724CE"/>
    <w:rsid w:val="00F72569"/>
    <w:rsid w:val="00F73009"/>
    <w:rsid w:val="00F73F39"/>
    <w:rsid w:val="00F74189"/>
    <w:rsid w:val="00F74B2C"/>
    <w:rsid w:val="00F74D7A"/>
    <w:rsid w:val="00F7540C"/>
    <w:rsid w:val="00F755F2"/>
    <w:rsid w:val="00F75763"/>
    <w:rsid w:val="00F75AB7"/>
    <w:rsid w:val="00F80588"/>
    <w:rsid w:val="00F805DD"/>
    <w:rsid w:val="00F8228B"/>
    <w:rsid w:val="00F82F02"/>
    <w:rsid w:val="00F835B4"/>
    <w:rsid w:val="00F85125"/>
    <w:rsid w:val="00F85503"/>
    <w:rsid w:val="00F86485"/>
    <w:rsid w:val="00F866C4"/>
    <w:rsid w:val="00F867BD"/>
    <w:rsid w:val="00F86C7E"/>
    <w:rsid w:val="00F87949"/>
    <w:rsid w:val="00F87A31"/>
    <w:rsid w:val="00F87A93"/>
    <w:rsid w:val="00F9038E"/>
    <w:rsid w:val="00F91BA0"/>
    <w:rsid w:val="00F952CE"/>
    <w:rsid w:val="00F957CD"/>
    <w:rsid w:val="00F97C15"/>
    <w:rsid w:val="00FA00FC"/>
    <w:rsid w:val="00FA0D0E"/>
    <w:rsid w:val="00FA2C68"/>
    <w:rsid w:val="00FA3FAB"/>
    <w:rsid w:val="00FA538B"/>
    <w:rsid w:val="00FA5568"/>
    <w:rsid w:val="00FA6E27"/>
    <w:rsid w:val="00FB04F8"/>
    <w:rsid w:val="00FB0CA1"/>
    <w:rsid w:val="00FB14DC"/>
    <w:rsid w:val="00FB216B"/>
    <w:rsid w:val="00FB2BAF"/>
    <w:rsid w:val="00FB35DF"/>
    <w:rsid w:val="00FB465B"/>
    <w:rsid w:val="00FB5355"/>
    <w:rsid w:val="00FB5B8A"/>
    <w:rsid w:val="00FB74AA"/>
    <w:rsid w:val="00FC12AC"/>
    <w:rsid w:val="00FC3039"/>
    <w:rsid w:val="00FC4388"/>
    <w:rsid w:val="00FC5222"/>
    <w:rsid w:val="00FC61B2"/>
    <w:rsid w:val="00FC65DC"/>
    <w:rsid w:val="00FC6A8C"/>
    <w:rsid w:val="00FD0DBC"/>
    <w:rsid w:val="00FD2731"/>
    <w:rsid w:val="00FD2990"/>
    <w:rsid w:val="00FD2ABF"/>
    <w:rsid w:val="00FD2AF7"/>
    <w:rsid w:val="00FD3C2F"/>
    <w:rsid w:val="00FD3D93"/>
    <w:rsid w:val="00FD433C"/>
    <w:rsid w:val="00FD489D"/>
    <w:rsid w:val="00FD5104"/>
    <w:rsid w:val="00FD6924"/>
    <w:rsid w:val="00FD6D4C"/>
    <w:rsid w:val="00FD7662"/>
    <w:rsid w:val="00FD7F64"/>
    <w:rsid w:val="00FE039C"/>
    <w:rsid w:val="00FE33D8"/>
    <w:rsid w:val="00FE358F"/>
    <w:rsid w:val="00FE5475"/>
    <w:rsid w:val="00FE5923"/>
    <w:rsid w:val="00FE77F5"/>
    <w:rsid w:val="00FE787A"/>
    <w:rsid w:val="00FE7C87"/>
    <w:rsid w:val="00FF0464"/>
    <w:rsid w:val="00FF1901"/>
    <w:rsid w:val="00FF1B28"/>
    <w:rsid w:val="00FF200C"/>
    <w:rsid w:val="00FF2BBF"/>
    <w:rsid w:val="00FF5A37"/>
    <w:rsid w:val="00FF6C9E"/>
    <w:rsid w:val="00FF768A"/>
    <w:rsid w:val="00FF7EC9"/>
    <w:rsid w:val="00FF7F7B"/>
    <w:rsid w:val="03FD87E9"/>
    <w:rsid w:val="0626475E"/>
    <w:rsid w:val="10BD5DD1"/>
    <w:rsid w:val="11411D47"/>
    <w:rsid w:val="182ABB9C"/>
    <w:rsid w:val="1EEF6D35"/>
    <w:rsid w:val="21E21102"/>
    <w:rsid w:val="2E3962CB"/>
    <w:rsid w:val="3D0E6C65"/>
    <w:rsid w:val="4199BC0B"/>
    <w:rsid w:val="42528395"/>
    <w:rsid w:val="4754E47D"/>
    <w:rsid w:val="4CFACABD"/>
    <w:rsid w:val="56465910"/>
    <w:rsid w:val="5A205FCF"/>
    <w:rsid w:val="6B4B0239"/>
    <w:rsid w:val="6BDCF60D"/>
    <w:rsid w:val="7536BC10"/>
    <w:rsid w:val="7EB03F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10BE8"/>
  <w15:chartTrackingRefBased/>
  <w15:docId w15:val="{4D7E727F-25D3-4AAE-99A8-49C4AFCD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49D"/>
    <w:pPr>
      <w:spacing w:after="0" w:line="276" w:lineRule="auto"/>
    </w:pPr>
    <w:rPr>
      <w:rFonts w:ascii="Arial" w:hAnsi="Arial"/>
    </w:rPr>
  </w:style>
  <w:style w:type="paragraph" w:styleId="Heading1">
    <w:name w:val="heading 1"/>
    <w:basedOn w:val="Normal"/>
    <w:next w:val="Normal"/>
    <w:link w:val="Heading1Char"/>
    <w:uiPriority w:val="9"/>
    <w:qFormat/>
    <w:rsid w:val="002E633C"/>
    <w:pPr>
      <w:keepNext/>
      <w:keepLines/>
      <w:pBdr>
        <w:bottom w:val="single" w:sz="8" w:space="1" w:color="660066"/>
      </w:pBdr>
      <w:spacing w:after="240"/>
      <w:outlineLvl w:val="0"/>
    </w:pPr>
    <w:rPr>
      <w:rFonts w:eastAsiaTheme="majorEastAsia" w:cstheme="majorBidi"/>
      <w:caps/>
      <w:color w:val="660066"/>
      <w:sz w:val="28"/>
      <w:szCs w:val="32"/>
    </w:rPr>
  </w:style>
  <w:style w:type="paragraph" w:styleId="Heading2">
    <w:name w:val="heading 2"/>
    <w:aliases w:val="SAR Heading 2"/>
    <w:basedOn w:val="Normal"/>
    <w:next w:val="Normal"/>
    <w:link w:val="Heading2Char"/>
    <w:uiPriority w:val="9"/>
    <w:unhideWhenUsed/>
    <w:qFormat/>
    <w:rsid w:val="00A16C70"/>
    <w:pPr>
      <w:keepNext/>
      <w:keepLines/>
      <w:spacing w:before="100" w:beforeAutospacing="1" w:after="240"/>
      <w:outlineLvl w:val="1"/>
    </w:pPr>
    <w:rPr>
      <w:rFonts w:eastAsiaTheme="majorEastAsia" w:cstheme="majorBidi"/>
      <w:color w:val="660066"/>
      <w:sz w:val="24"/>
      <w:szCs w:val="26"/>
    </w:rPr>
  </w:style>
  <w:style w:type="paragraph" w:styleId="Heading3">
    <w:name w:val="heading 3"/>
    <w:basedOn w:val="Normal"/>
    <w:next w:val="Normal"/>
    <w:link w:val="Heading3Char"/>
    <w:uiPriority w:val="9"/>
    <w:semiHidden/>
    <w:unhideWhenUsed/>
    <w:qFormat/>
    <w:rsid w:val="006F7A7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aliases w:val="DoLS Form"/>
    <w:basedOn w:val="DefaultParagraphFont"/>
    <w:qFormat/>
    <w:rsid w:val="00E3242A"/>
    <w:rPr>
      <w:rFonts w:ascii="Tahoma" w:hAnsi="Tahoma"/>
      <w:b w:val="0"/>
      <w:bCs/>
      <w:noProof w:val="0"/>
      <w:color w:val="000000" w:themeColor="text1"/>
      <w:sz w:val="24"/>
      <w:lang w:val="en-GB"/>
    </w:rPr>
  </w:style>
  <w:style w:type="paragraph" w:styleId="Title">
    <w:name w:val="Title"/>
    <w:basedOn w:val="Heading1"/>
    <w:next w:val="Normal"/>
    <w:link w:val="TitleChar"/>
    <w:uiPriority w:val="99"/>
    <w:qFormat/>
    <w:rsid w:val="00541C03"/>
    <w:rPr>
      <w:caps w:val="0"/>
      <w:sz w:val="44"/>
      <w:szCs w:val="24"/>
    </w:rPr>
  </w:style>
  <w:style w:type="character" w:customStyle="1" w:styleId="TitleChar">
    <w:name w:val="Title Char"/>
    <w:basedOn w:val="DefaultParagraphFont"/>
    <w:link w:val="Title"/>
    <w:uiPriority w:val="99"/>
    <w:rsid w:val="00541C03"/>
    <w:rPr>
      <w:rFonts w:ascii="Arial" w:eastAsiaTheme="majorEastAsia" w:hAnsi="Arial" w:cstheme="majorBidi"/>
      <w:color w:val="660066"/>
      <w:sz w:val="44"/>
      <w:szCs w:val="24"/>
    </w:rPr>
  </w:style>
  <w:style w:type="character" w:customStyle="1" w:styleId="Heading1Char">
    <w:name w:val="Heading 1 Char"/>
    <w:basedOn w:val="DefaultParagraphFont"/>
    <w:link w:val="Heading1"/>
    <w:uiPriority w:val="9"/>
    <w:rsid w:val="002E633C"/>
    <w:rPr>
      <w:rFonts w:ascii="Arial" w:eastAsiaTheme="majorEastAsia" w:hAnsi="Arial" w:cstheme="majorBidi"/>
      <w:caps/>
      <w:color w:val="660066"/>
      <w:sz w:val="28"/>
      <w:szCs w:val="32"/>
    </w:rPr>
  </w:style>
  <w:style w:type="character" w:customStyle="1" w:styleId="Heading2Char">
    <w:name w:val="Heading 2 Char"/>
    <w:aliases w:val="SAR Heading 2 Char"/>
    <w:basedOn w:val="DefaultParagraphFont"/>
    <w:link w:val="Heading2"/>
    <w:uiPriority w:val="9"/>
    <w:rsid w:val="00A16C70"/>
    <w:rPr>
      <w:rFonts w:ascii="Arial" w:eastAsiaTheme="majorEastAsia" w:hAnsi="Arial" w:cstheme="majorBidi"/>
      <w:color w:val="660066"/>
      <w:sz w:val="24"/>
      <w:szCs w:val="26"/>
    </w:rPr>
  </w:style>
  <w:style w:type="paragraph" w:styleId="Subtitle">
    <w:name w:val="Subtitle"/>
    <w:basedOn w:val="Normal"/>
    <w:next w:val="Normal"/>
    <w:link w:val="SubtitleChar"/>
    <w:uiPriority w:val="99"/>
    <w:qFormat/>
    <w:rsid w:val="00541C03"/>
    <w:pPr>
      <w:numPr>
        <w:ilvl w:val="1"/>
      </w:numPr>
    </w:pPr>
    <w:rPr>
      <w:rFonts w:eastAsiaTheme="minorEastAsia"/>
      <w:color w:val="660066"/>
      <w:sz w:val="40"/>
      <w:szCs w:val="18"/>
    </w:rPr>
  </w:style>
  <w:style w:type="character" w:customStyle="1" w:styleId="SubtitleChar">
    <w:name w:val="Subtitle Char"/>
    <w:basedOn w:val="DefaultParagraphFont"/>
    <w:link w:val="Subtitle"/>
    <w:uiPriority w:val="99"/>
    <w:rsid w:val="00541C03"/>
    <w:rPr>
      <w:rFonts w:ascii="Arial" w:eastAsiaTheme="minorEastAsia" w:hAnsi="Arial"/>
      <w:color w:val="660066"/>
      <w:sz w:val="40"/>
      <w:szCs w:val="18"/>
    </w:rPr>
  </w:style>
  <w:style w:type="paragraph" w:styleId="TOCHeading">
    <w:name w:val="TOC Heading"/>
    <w:basedOn w:val="Heading1"/>
    <w:next w:val="Normal"/>
    <w:uiPriority w:val="39"/>
    <w:unhideWhenUsed/>
    <w:qFormat/>
    <w:rsid w:val="00D83672"/>
    <w:pPr>
      <w:spacing w:line="259" w:lineRule="auto"/>
      <w:outlineLvl w:val="9"/>
    </w:pPr>
    <w:rPr>
      <w:lang w:val="en-US"/>
    </w:rPr>
  </w:style>
  <w:style w:type="paragraph" w:styleId="TOC1">
    <w:name w:val="toc 1"/>
    <w:basedOn w:val="Normal"/>
    <w:next w:val="Normal"/>
    <w:autoRedefine/>
    <w:uiPriority w:val="39"/>
    <w:unhideWhenUsed/>
    <w:rsid w:val="00F22205"/>
    <w:pPr>
      <w:tabs>
        <w:tab w:val="right" w:leader="dot" w:pos="9465"/>
      </w:tabs>
      <w:spacing w:after="100"/>
    </w:pPr>
    <w:rPr>
      <w:b/>
    </w:rPr>
  </w:style>
  <w:style w:type="paragraph" w:styleId="TOC2">
    <w:name w:val="toc 2"/>
    <w:basedOn w:val="Normal"/>
    <w:next w:val="Normal"/>
    <w:autoRedefine/>
    <w:uiPriority w:val="39"/>
    <w:unhideWhenUsed/>
    <w:rsid w:val="00DB5097"/>
    <w:pPr>
      <w:spacing w:after="100"/>
      <w:ind w:left="220"/>
    </w:pPr>
  </w:style>
  <w:style w:type="character" w:styleId="Hyperlink">
    <w:name w:val="Hyperlink"/>
    <w:basedOn w:val="DefaultParagraphFont"/>
    <w:uiPriority w:val="99"/>
    <w:unhideWhenUsed/>
    <w:rsid w:val="00DB5097"/>
    <w:rPr>
      <w:color w:val="0563C1" w:themeColor="hyperlink"/>
      <w:u w:val="single"/>
    </w:rPr>
  </w:style>
  <w:style w:type="paragraph" w:styleId="Header">
    <w:name w:val="header"/>
    <w:basedOn w:val="Normal"/>
    <w:link w:val="HeaderChar"/>
    <w:uiPriority w:val="99"/>
    <w:unhideWhenUsed/>
    <w:rsid w:val="00B7607B"/>
    <w:pPr>
      <w:tabs>
        <w:tab w:val="center" w:pos="4513"/>
        <w:tab w:val="right" w:pos="9026"/>
      </w:tabs>
      <w:spacing w:line="240" w:lineRule="auto"/>
    </w:pPr>
  </w:style>
  <w:style w:type="character" w:customStyle="1" w:styleId="HeaderChar">
    <w:name w:val="Header Char"/>
    <w:basedOn w:val="DefaultParagraphFont"/>
    <w:link w:val="Header"/>
    <w:uiPriority w:val="99"/>
    <w:rsid w:val="00B7607B"/>
    <w:rPr>
      <w:rFonts w:ascii="Arial" w:hAnsi="Arial"/>
    </w:rPr>
  </w:style>
  <w:style w:type="paragraph" w:styleId="Footer">
    <w:name w:val="footer"/>
    <w:basedOn w:val="Normal"/>
    <w:link w:val="FooterChar"/>
    <w:uiPriority w:val="99"/>
    <w:unhideWhenUsed/>
    <w:rsid w:val="00B7607B"/>
    <w:pPr>
      <w:tabs>
        <w:tab w:val="center" w:pos="4513"/>
        <w:tab w:val="right" w:pos="9026"/>
      </w:tabs>
      <w:spacing w:line="240" w:lineRule="auto"/>
    </w:pPr>
  </w:style>
  <w:style w:type="character" w:customStyle="1" w:styleId="FooterChar">
    <w:name w:val="Footer Char"/>
    <w:basedOn w:val="DefaultParagraphFont"/>
    <w:link w:val="Footer"/>
    <w:uiPriority w:val="99"/>
    <w:rsid w:val="00B7607B"/>
    <w:rPr>
      <w:rFonts w:ascii="Arial" w:hAnsi="Arial"/>
    </w:rPr>
  </w:style>
  <w:style w:type="paragraph" w:styleId="ListParagraph">
    <w:name w:val="List Paragraph"/>
    <w:basedOn w:val="Normal"/>
    <w:link w:val="ListParagraphChar"/>
    <w:uiPriority w:val="34"/>
    <w:qFormat/>
    <w:rsid w:val="00C546C0"/>
    <w:pPr>
      <w:ind w:left="709" w:hanging="709"/>
      <w:contextualSpacing/>
    </w:pPr>
    <w:rPr>
      <w:rFonts w:eastAsia="Calibri" w:cs="Arial"/>
      <w:lang w:val="en-US"/>
    </w:rPr>
  </w:style>
  <w:style w:type="character" w:customStyle="1" w:styleId="ListParagraphChar">
    <w:name w:val="List Paragraph Char"/>
    <w:basedOn w:val="DefaultParagraphFont"/>
    <w:link w:val="ListParagraph"/>
    <w:uiPriority w:val="34"/>
    <w:locked/>
    <w:rsid w:val="00C546C0"/>
    <w:rPr>
      <w:rFonts w:ascii="Arial" w:eastAsia="Calibri" w:hAnsi="Arial" w:cs="Arial"/>
      <w:lang w:val="en-US"/>
    </w:rPr>
  </w:style>
  <w:style w:type="table" w:styleId="TableGrid">
    <w:name w:val="Table Grid"/>
    <w:basedOn w:val="TableNormal"/>
    <w:uiPriority w:val="39"/>
    <w:rsid w:val="00D40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uiPriority w:val="31"/>
    <w:qFormat/>
    <w:rsid w:val="00A2674A"/>
    <w:rPr>
      <w:rFonts w:ascii="Arial" w:hAnsi="Arial" w:cs="Arial"/>
      <w:b/>
      <w:bCs/>
      <w:color w:val="1F3864" w:themeColor="accent5" w:themeShade="80"/>
      <w:sz w:val="20"/>
      <w:szCs w:val="20"/>
    </w:rPr>
  </w:style>
  <w:style w:type="paragraph" w:customStyle="1" w:styleId="Footerfirst">
    <w:name w:val="Footer first"/>
    <w:basedOn w:val="Footer"/>
    <w:link w:val="FooterfirstChar"/>
    <w:qFormat/>
    <w:rsid w:val="004E4994"/>
    <w:pPr>
      <w:pBdr>
        <w:top w:val="single" w:sz="12" w:space="1" w:color="660066"/>
      </w:pBdr>
    </w:pPr>
    <w:rPr>
      <w:color w:val="660066"/>
      <w:sz w:val="20"/>
    </w:rPr>
  </w:style>
  <w:style w:type="character" w:customStyle="1" w:styleId="FooterfirstChar">
    <w:name w:val="Footer first Char"/>
    <w:basedOn w:val="FooterChar"/>
    <w:link w:val="Footerfirst"/>
    <w:rsid w:val="004E4994"/>
    <w:rPr>
      <w:rFonts w:ascii="Arial" w:hAnsi="Arial"/>
      <w:color w:val="660066"/>
      <w:sz w:val="20"/>
    </w:rPr>
  </w:style>
  <w:style w:type="paragraph" w:styleId="FootnoteText">
    <w:name w:val="footnote text"/>
    <w:basedOn w:val="Normal"/>
    <w:link w:val="FootnoteTextChar"/>
    <w:uiPriority w:val="99"/>
    <w:semiHidden/>
    <w:unhideWhenUsed/>
    <w:rsid w:val="00F80588"/>
    <w:pPr>
      <w:spacing w:line="240" w:lineRule="auto"/>
    </w:pPr>
    <w:rPr>
      <w:sz w:val="20"/>
      <w:szCs w:val="20"/>
    </w:rPr>
  </w:style>
  <w:style w:type="character" w:customStyle="1" w:styleId="FootnoteTextChar">
    <w:name w:val="Footnote Text Char"/>
    <w:basedOn w:val="DefaultParagraphFont"/>
    <w:link w:val="FootnoteText"/>
    <w:uiPriority w:val="99"/>
    <w:semiHidden/>
    <w:rsid w:val="00F80588"/>
    <w:rPr>
      <w:rFonts w:ascii="Arial" w:hAnsi="Arial"/>
      <w:sz w:val="20"/>
      <w:szCs w:val="20"/>
    </w:rPr>
  </w:style>
  <w:style w:type="character" w:styleId="FootnoteReference">
    <w:name w:val="footnote reference"/>
    <w:basedOn w:val="DefaultParagraphFont"/>
    <w:uiPriority w:val="99"/>
    <w:semiHidden/>
    <w:unhideWhenUsed/>
    <w:rsid w:val="00F80588"/>
    <w:rPr>
      <w:vertAlign w:val="superscript"/>
    </w:rPr>
  </w:style>
  <w:style w:type="paragraph" w:customStyle="1" w:styleId="Findingtext">
    <w:name w:val="Finding text"/>
    <w:basedOn w:val="Normal"/>
    <w:link w:val="FindingtextChar"/>
    <w:qFormat/>
    <w:rsid w:val="002E633C"/>
    <w:pPr>
      <w:pBdr>
        <w:top w:val="single" w:sz="4" w:space="1" w:color="auto"/>
        <w:left w:val="single" w:sz="4" w:space="4" w:color="auto"/>
        <w:bottom w:val="single" w:sz="4" w:space="1" w:color="auto"/>
        <w:right w:val="single" w:sz="4" w:space="4" w:color="auto"/>
      </w:pBdr>
      <w:shd w:val="clear" w:color="auto" w:fill="D3C1FF"/>
    </w:pPr>
    <w:rPr>
      <w:rFonts w:eastAsia="Calibri" w:cs="Arial"/>
    </w:rPr>
  </w:style>
  <w:style w:type="paragraph" w:customStyle="1" w:styleId="FindingTitle">
    <w:name w:val="Finding Title"/>
    <w:basedOn w:val="Normal"/>
    <w:link w:val="FindingTitleChar"/>
    <w:qFormat/>
    <w:rsid w:val="002E633C"/>
    <w:pPr>
      <w:pBdr>
        <w:top w:val="single" w:sz="4" w:space="1" w:color="auto"/>
        <w:left w:val="single" w:sz="4" w:space="4" w:color="auto"/>
        <w:bottom w:val="single" w:sz="4" w:space="1" w:color="auto"/>
        <w:right w:val="single" w:sz="4" w:space="4" w:color="auto"/>
      </w:pBdr>
      <w:shd w:val="clear" w:color="auto" w:fill="D3C1FF"/>
      <w:jc w:val="center"/>
      <w:outlineLvl w:val="2"/>
    </w:pPr>
    <w:rPr>
      <w:rFonts w:eastAsia="Calibri" w:cs="Times New Roman"/>
      <w:b/>
    </w:rPr>
  </w:style>
  <w:style w:type="character" w:customStyle="1" w:styleId="FindingtextChar">
    <w:name w:val="Finding text Char"/>
    <w:basedOn w:val="DefaultParagraphFont"/>
    <w:link w:val="Findingtext"/>
    <w:rsid w:val="002E633C"/>
    <w:rPr>
      <w:rFonts w:ascii="Arial" w:eastAsia="Calibri" w:hAnsi="Arial" w:cs="Arial"/>
      <w:shd w:val="clear" w:color="auto" w:fill="D3C1FF"/>
    </w:rPr>
  </w:style>
  <w:style w:type="character" w:customStyle="1" w:styleId="FindingTitleChar">
    <w:name w:val="Finding Title Char"/>
    <w:basedOn w:val="DefaultParagraphFont"/>
    <w:link w:val="FindingTitle"/>
    <w:rsid w:val="002E633C"/>
    <w:rPr>
      <w:rFonts w:ascii="Arial" w:eastAsia="Calibri" w:hAnsi="Arial" w:cs="Times New Roman"/>
      <w:b/>
      <w:shd w:val="clear" w:color="auto" w:fill="D3C1FF"/>
    </w:rPr>
  </w:style>
  <w:style w:type="character" w:styleId="PlaceholderText">
    <w:name w:val="Placeholder Text"/>
    <w:basedOn w:val="DefaultParagraphFont"/>
    <w:uiPriority w:val="99"/>
    <w:semiHidden/>
    <w:rsid w:val="00C87839"/>
    <w:rPr>
      <w:color w:val="666666"/>
    </w:rPr>
  </w:style>
  <w:style w:type="paragraph" w:styleId="Bibliography">
    <w:name w:val="Bibliography"/>
    <w:basedOn w:val="Normal"/>
    <w:next w:val="Normal"/>
    <w:uiPriority w:val="37"/>
    <w:unhideWhenUsed/>
    <w:rsid w:val="003260F6"/>
  </w:style>
  <w:style w:type="character" w:customStyle="1" w:styleId="Heading3Char">
    <w:name w:val="Heading 3 Char"/>
    <w:basedOn w:val="DefaultParagraphFont"/>
    <w:link w:val="Heading3"/>
    <w:uiPriority w:val="9"/>
    <w:semiHidden/>
    <w:rsid w:val="006F7A74"/>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F74B2C"/>
    <w:pPr>
      <w:spacing w:after="100"/>
      <w:ind w:left="440"/>
    </w:pPr>
  </w:style>
  <w:style w:type="character" w:styleId="UnresolvedMention">
    <w:name w:val="Unresolved Mention"/>
    <w:basedOn w:val="DefaultParagraphFont"/>
    <w:uiPriority w:val="99"/>
    <w:semiHidden/>
    <w:unhideWhenUsed/>
    <w:rsid w:val="0098102A"/>
    <w:rPr>
      <w:color w:val="605E5C"/>
      <w:shd w:val="clear" w:color="auto" w:fill="E1DFDD"/>
    </w:rPr>
  </w:style>
  <w:style w:type="paragraph" w:styleId="Revision">
    <w:name w:val="Revision"/>
    <w:hidden/>
    <w:uiPriority w:val="99"/>
    <w:semiHidden/>
    <w:rsid w:val="00784F44"/>
    <w:pPr>
      <w:spacing w:after="0" w:line="240" w:lineRule="auto"/>
    </w:pPr>
    <w:rPr>
      <w:rFonts w:ascii="Arial" w:hAnsi="Arial"/>
    </w:rPr>
  </w:style>
  <w:style w:type="character" w:styleId="CommentReference">
    <w:name w:val="annotation reference"/>
    <w:basedOn w:val="DefaultParagraphFont"/>
    <w:uiPriority w:val="99"/>
    <w:semiHidden/>
    <w:unhideWhenUsed/>
    <w:rsid w:val="001A47AB"/>
    <w:rPr>
      <w:sz w:val="16"/>
      <w:szCs w:val="16"/>
    </w:rPr>
  </w:style>
  <w:style w:type="paragraph" w:styleId="CommentText">
    <w:name w:val="annotation text"/>
    <w:basedOn w:val="Normal"/>
    <w:link w:val="CommentTextChar"/>
    <w:uiPriority w:val="99"/>
    <w:unhideWhenUsed/>
    <w:rsid w:val="001A47AB"/>
    <w:pPr>
      <w:spacing w:line="240" w:lineRule="auto"/>
    </w:pPr>
    <w:rPr>
      <w:sz w:val="20"/>
      <w:szCs w:val="20"/>
    </w:rPr>
  </w:style>
  <w:style w:type="character" w:customStyle="1" w:styleId="CommentTextChar">
    <w:name w:val="Comment Text Char"/>
    <w:basedOn w:val="DefaultParagraphFont"/>
    <w:link w:val="CommentText"/>
    <w:uiPriority w:val="99"/>
    <w:rsid w:val="001A47A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A47AB"/>
    <w:rPr>
      <w:b/>
      <w:bCs/>
    </w:rPr>
  </w:style>
  <w:style w:type="character" w:customStyle="1" w:styleId="CommentSubjectChar">
    <w:name w:val="Comment Subject Char"/>
    <w:basedOn w:val="CommentTextChar"/>
    <w:link w:val="CommentSubject"/>
    <w:uiPriority w:val="99"/>
    <w:semiHidden/>
    <w:rsid w:val="001A47A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34369">
      <w:bodyDiv w:val="1"/>
      <w:marLeft w:val="0"/>
      <w:marRight w:val="0"/>
      <w:marTop w:val="0"/>
      <w:marBottom w:val="0"/>
      <w:divBdr>
        <w:top w:val="none" w:sz="0" w:space="0" w:color="auto"/>
        <w:left w:val="none" w:sz="0" w:space="0" w:color="auto"/>
        <w:bottom w:val="none" w:sz="0" w:space="0" w:color="auto"/>
        <w:right w:val="none" w:sz="0" w:space="0" w:color="auto"/>
      </w:divBdr>
    </w:div>
    <w:div w:id="51316130">
      <w:bodyDiv w:val="1"/>
      <w:marLeft w:val="0"/>
      <w:marRight w:val="0"/>
      <w:marTop w:val="0"/>
      <w:marBottom w:val="0"/>
      <w:divBdr>
        <w:top w:val="none" w:sz="0" w:space="0" w:color="auto"/>
        <w:left w:val="none" w:sz="0" w:space="0" w:color="auto"/>
        <w:bottom w:val="none" w:sz="0" w:space="0" w:color="auto"/>
        <w:right w:val="none" w:sz="0" w:space="0" w:color="auto"/>
      </w:divBdr>
    </w:div>
    <w:div w:id="85274575">
      <w:bodyDiv w:val="1"/>
      <w:marLeft w:val="0"/>
      <w:marRight w:val="0"/>
      <w:marTop w:val="0"/>
      <w:marBottom w:val="0"/>
      <w:divBdr>
        <w:top w:val="none" w:sz="0" w:space="0" w:color="auto"/>
        <w:left w:val="none" w:sz="0" w:space="0" w:color="auto"/>
        <w:bottom w:val="none" w:sz="0" w:space="0" w:color="auto"/>
        <w:right w:val="none" w:sz="0" w:space="0" w:color="auto"/>
      </w:divBdr>
    </w:div>
    <w:div w:id="97601040">
      <w:bodyDiv w:val="1"/>
      <w:marLeft w:val="0"/>
      <w:marRight w:val="0"/>
      <w:marTop w:val="0"/>
      <w:marBottom w:val="0"/>
      <w:divBdr>
        <w:top w:val="none" w:sz="0" w:space="0" w:color="auto"/>
        <w:left w:val="none" w:sz="0" w:space="0" w:color="auto"/>
        <w:bottom w:val="none" w:sz="0" w:space="0" w:color="auto"/>
        <w:right w:val="none" w:sz="0" w:space="0" w:color="auto"/>
      </w:divBdr>
    </w:div>
    <w:div w:id="103579512">
      <w:bodyDiv w:val="1"/>
      <w:marLeft w:val="0"/>
      <w:marRight w:val="0"/>
      <w:marTop w:val="0"/>
      <w:marBottom w:val="0"/>
      <w:divBdr>
        <w:top w:val="none" w:sz="0" w:space="0" w:color="auto"/>
        <w:left w:val="none" w:sz="0" w:space="0" w:color="auto"/>
        <w:bottom w:val="none" w:sz="0" w:space="0" w:color="auto"/>
        <w:right w:val="none" w:sz="0" w:space="0" w:color="auto"/>
      </w:divBdr>
    </w:div>
    <w:div w:id="108208842">
      <w:bodyDiv w:val="1"/>
      <w:marLeft w:val="0"/>
      <w:marRight w:val="0"/>
      <w:marTop w:val="0"/>
      <w:marBottom w:val="0"/>
      <w:divBdr>
        <w:top w:val="none" w:sz="0" w:space="0" w:color="auto"/>
        <w:left w:val="none" w:sz="0" w:space="0" w:color="auto"/>
        <w:bottom w:val="none" w:sz="0" w:space="0" w:color="auto"/>
        <w:right w:val="none" w:sz="0" w:space="0" w:color="auto"/>
      </w:divBdr>
    </w:div>
    <w:div w:id="108551093">
      <w:bodyDiv w:val="1"/>
      <w:marLeft w:val="0"/>
      <w:marRight w:val="0"/>
      <w:marTop w:val="0"/>
      <w:marBottom w:val="0"/>
      <w:divBdr>
        <w:top w:val="none" w:sz="0" w:space="0" w:color="auto"/>
        <w:left w:val="none" w:sz="0" w:space="0" w:color="auto"/>
        <w:bottom w:val="none" w:sz="0" w:space="0" w:color="auto"/>
        <w:right w:val="none" w:sz="0" w:space="0" w:color="auto"/>
      </w:divBdr>
    </w:div>
    <w:div w:id="134226493">
      <w:bodyDiv w:val="1"/>
      <w:marLeft w:val="0"/>
      <w:marRight w:val="0"/>
      <w:marTop w:val="0"/>
      <w:marBottom w:val="0"/>
      <w:divBdr>
        <w:top w:val="none" w:sz="0" w:space="0" w:color="auto"/>
        <w:left w:val="none" w:sz="0" w:space="0" w:color="auto"/>
        <w:bottom w:val="none" w:sz="0" w:space="0" w:color="auto"/>
        <w:right w:val="none" w:sz="0" w:space="0" w:color="auto"/>
      </w:divBdr>
    </w:div>
    <w:div w:id="141388683">
      <w:bodyDiv w:val="1"/>
      <w:marLeft w:val="0"/>
      <w:marRight w:val="0"/>
      <w:marTop w:val="0"/>
      <w:marBottom w:val="0"/>
      <w:divBdr>
        <w:top w:val="none" w:sz="0" w:space="0" w:color="auto"/>
        <w:left w:val="none" w:sz="0" w:space="0" w:color="auto"/>
        <w:bottom w:val="none" w:sz="0" w:space="0" w:color="auto"/>
        <w:right w:val="none" w:sz="0" w:space="0" w:color="auto"/>
      </w:divBdr>
    </w:div>
    <w:div w:id="143160579">
      <w:bodyDiv w:val="1"/>
      <w:marLeft w:val="0"/>
      <w:marRight w:val="0"/>
      <w:marTop w:val="0"/>
      <w:marBottom w:val="0"/>
      <w:divBdr>
        <w:top w:val="none" w:sz="0" w:space="0" w:color="auto"/>
        <w:left w:val="none" w:sz="0" w:space="0" w:color="auto"/>
        <w:bottom w:val="none" w:sz="0" w:space="0" w:color="auto"/>
        <w:right w:val="none" w:sz="0" w:space="0" w:color="auto"/>
      </w:divBdr>
    </w:div>
    <w:div w:id="173571279">
      <w:bodyDiv w:val="1"/>
      <w:marLeft w:val="0"/>
      <w:marRight w:val="0"/>
      <w:marTop w:val="0"/>
      <w:marBottom w:val="0"/>
      <w:divBdr>
        <w:top w:val="none" w:sz="0" w:space="0" w:color="auto"/>
        <w:left w:val="none" w:sz="0" w:space="0" w:color="auto"/>
        <w:bottom w:val="none" w:sz="0" w:space="0" w:color="auto"/>
        <w:right w:val="none" w:sz="0" w:space="0" w:color="auto"/>
      </w:divBdr>
    </w:div>
    <w:div w:id="177888595">
      <w:bodyDiv w:val="1"/>
      <w:marLeft w:val="0"/>
      <w:marRight w:val="0"/>
      <w:marTop w:val="0"/>
      <w:marBottom w:val="0"/>
      <w:divBdr>
        <w:top w:val="none" w:sz="0" w:space="0" w:color="auto"/>
        <w:left w:val="none" w:sz="0" w:space="0" w:color="auto"/>
        <w:bottom w:val="none" w:sz="0" w:space="0" w:color="auto"/>
        <w:right w:val="none" w:sz="0" w:space="0" w:color="auto"/>
      </w:divBdr>
    </w:div>
    <w:div w:id="178550649">
      <w:bodyDiv w:val="1"/>
      <w:marLeft w:val="0"/>
      <w:marRight w:val="0"/>
      <w:marTop w:val="0"/>
      <w:marBottom w:val="0"/>
      <w:divBdr>
        <w:top w:val="none" w:sz="0" w:space="0" w:color="auto"/>
        <w:left w:val="none" w:sz="0" w:space="0" w:color="auto"/>
        <w:bottom w:val="none" w:sz="0" w:space="0" w:color="auto"/>
        <w:right w:val="none" w:sz="0" w:space="0" w:color="auto"/>
      </w:divBdr>
    </w:div>
    <w:div w:id="183255693">
      <w:bodyDiv w:val="1"/>
      <w:marLeft w:val="0"/>
      <w:marRight w:val="0"/>
      <w:marTop w:val="0"/>
      <w:marBottom w:val="0"/>
      <w:divBdr>
        <w:top w:val="none" w:sz="0" w:space="0" w:color="auto"/>
        <w:left w:val="none" w:sz="0" w:space="0" w:color="auto"/>
        <w:bottom w:val="none" w:sz="0" w:space="0" w:color="auto"/>
        <w:right w:val="none" w:sz="0" w:space="0" w:color="auto"/>
      </w:divBdr>
    </w:div>
    <w:div w:id="208155330">
      <w:bodyDiv w:val="1"/>
      <w:marLeft w:val="0"/>
      <w:marRight w:val="0"/>
      <w:marTop w:val="0"/>
      <w:marBottom w:val="0"/>
      <w:divBdr>
        <w:top w:val="none" w:sz="0" w:space="0" w:color="auto"/>
        <w:left w:val="none" w:sz="0" w:space="0" w:color="auto"/>
        <w:bottom w:val="none" w:sz="0" w:space="0" w:color="auto"/>
        <w:right w:val="none" w:sz="0" w:space="0" w:color="auto"/>
      </w:divBdr>
    </w:div>
    <w:div w:id="278725565">
      <w:bodyDiv w:val="1"/>
      <w:marLeft w:val="0"/>
      <w:marRight w:val="0"/>
      <w:marTop w:val="0"/>
      <w:marBottom w:val="0"/>
      <w:divBdr>
        <w:top w:val="none" w:sz="0" w:space="0" w:color="auto"/>
        <w:left w:val="none" w:sz="0" w:space="0" w:color="auto"/>
        <w:bottom w:val="none" w:sz="0" w:space="0" w:color="auto"/>
        <w:right w:val="none" w:sz="0" w:space="0" w:color="auto"/>
      </w:divBdr>
    </w:div>
    <w:div w:id="307168828">
      <w:bodyDiv w:val="1"/>
      <w:marLeft w:val="0"/>
      <w:marRight w:val="0"/>
      <w:marTop w:val="0"/>
      <w:marBottom w:val="0"/>
      <w:divBdr>
        <w:top w:val="none" w:sz="0" w:space="0" w:color="auto"/>
        <w:left w:val="none" w:sz="0" w:space="0" w:color="auto"/>
        <w:bottom w:val="none" w:sz="0" w:space="0" w:color="auto"/>
        <w:right w:val="none" w:sz="0" w:space="0" w:color="auto"/>
      </w:divBdr>
    </w:div>
    <w:div w:id="311254965">
      <w:bodyDiv w:val="1"/>
      <w:marLeft w:val="0"/>
      <w:marRight w:val="0"/>
      <w:marTop w:val="0"/>
      <w:marBottom w:val="0"/>
      <w:divBdr>
        <w:top w:val="none" w:sz="0" w:space="0" w:color="auto"/>
        <w:left w:val="none" w:sz="0" w:space="0" w:color="auto"/>
        <w:bottom w:val="none" w:sz="0" w:space="0" w:color="auto"/>
        <w:right w:val="none" w:sz="0" w:space="0" w:color="auto"/>
      </w:divBdr>
    </w:div>
    <w:div w:id="322315770">
      <w:bodyDiv w:val="1"/>
      <w:marLeft w:val="0"/>
      <w:marRight w:val="0"/>
      <w:marTop w:val="0"/>
      <w:marBottom w:val="0"/>
      <w:divBdr>
        <w:top w:val="none" w:sz="0" w:space="0" w:color="auto"/>
        <w:left w:val="none" w:sz="0" w:space="0" w:color="auto"/>
        <w:bottom w:val="none" w:sz="0" w:space="0" w:color="auto"/>
        <w:right w:val="none" w:sz="0" w:space="0" w:color="auto"/>
      </w:divBdr>
    </w:div>
    <w:div w:id="343823504">
      <w:bodyDiv w:val="1"/>
      <w:marLeft w:val="0"/>
      <w:marRight w:val="0"/>
      <w:marTop w:val="0"/>
      <w:marBottom w:val="0"/>
      <w:divBdr>
        <w:top w:val="none" w:sz="0" w:space="0" w:color="auto"/>
        <w:left w:val="none" w:sz="0" w:space="0" w:color="auto"/>
        <w:bottom w:val="none" w:sz="0" w:space="0" w:color="auto"/>
        <w:right w:val="none" w:sz="0" w:space="0" w:color="auto"/>
      </w:divBdr>
    </w:div>
    <w:div w:id="350690328">
      <w:bodyDiv w:val="1"/>
      <w:marLeft w:val="0"/>
      <w:marRight w:val="0"/>
      <w:marTop w:val="0"/>
      <w:marBottom w:val="0"/>
      <w:divBdr>
        <w:top w:val="none" w:sz="0" w:space="0" w:color="auto"/>
        <w:left w:val="none" w:sz="0" w:space="0" w:color="auto"/>
        <w:bottom w:val="none" w:sz="0" w:space="0" w:color="auto"/>
        <w:right w:val="none" w:sz="0" w:space="0" w:color="auto"/>
      </w:divBdr>
    </w:div>
    <w:div w:id="355741032">
      <w:bodyDiv w:val="1"/>
      <w:marLeft w:val="0"/>
      <w:marRight w:val="0"/>
      <w:marTop w:val="0"/>
      <w:marBottom w:val="0"/>
      <w:divBdr>
        <w:top w:val="none" w:sz="0" w:space="0" w:color="auto"/>
        <w:left w:val="none" w:sz="0" w:space="0" w:color="auto"/>
        <w:bottom w:val="none" w:sz="0" w:space="0" w:color="auto"/>
        <w:right w:val="none" w:sz="0" w:space="0" w:color="auto"/>
      </w:divBdr>
    </w:div>
    <w:div w:id="386993450">
      <w:bodyDiv w:val="1"/>
      <w:marLeft w:val="0"/>
      <w:marRight w:val="0"/>
      <w:marTop w:val="0"/>
      <w:marBottom w:val="0"/>
      <w:divBdr>
        <w:top w:val="none" w:sz="0" w:space="0" w:color="auto"/>
        <w:left w:val="none" w:sz="0" w:space="0" w:color="auto"/>
        <w:bottom w:val="none" w:sz="0" w:space="0" w:color="auto"/>
        <w:right w:val="none" w:sz="0" w:space="0" w:color="auto"/>
      </w:divBdr>
    </w:div>
    <w:div w:id="397287915">
      <w:bodyDiv w:val="1"/>
      <w:marLeft w:val="0"/>
      <w:marRight w:val="0"/>
      <w:marTop w:val="0"/>
      <w:marBottom w:val="0"/>
      <w:divBdr>
        <w:top w:val="none" w:sz="0" w:space="0" w:color="auto"/>
        <w:left w:val="none" w:sz="0" w:space="0" w:color="auto"/>
        <w:bottom w:val="none" w:sz="0" w:space="0" w:color="auto"/>
        <w:right w:val="none" w:sz="0" w:space="0" w:color="auto"/>
      </w:divBdr>
    </w:div>
    <w:div w:id="397944498">
      <w:bodyDiv w:val="1"/>
      <w:marLeft w:val="0"/>
      <w:marRight w:val="0"/>
      <w:marTop w:val="0"/>
      <w:marBottom w:val="0"/>
      <w:divBdr>
        <w:top w:val="none" w:sz="0" w:space="0" w:color="auto"/>
        <w:left w:val="none" w:sz="0" w:space="0" w:color="auto"/>
        <w:bottom w:val="none" w:sz="0" w:space="0" w:color="auto"/>
        <w:right w:val="none" w:sz="0" w:space="0" w:color="auto"/>
      </w:divBdr>
    </w:div>
    <w:div w:id="401605250">
      <w:bodyDiv w:val="1"/>
      <w:marLeft w:val="0"/>
      <w:marRight w:val="0"/>
      <w:marTop w:val="0"/>
      <w:marBottom w:val="0"/>
      <w:divBdr>
        <w:top w:val="none" w:sz="0" w:space="0" w:color="auto"/>
        <w:left w:val="none" w:sz="0" w:space="0" w:color="auto"/>
        <w:bottom w:val="none" w:sz="0" w:space="0" w:color="auto"/>
        <w:right w:val="none" w:sz="0" w:space="0" w:color="auto"/>
      </w:divBdr>
    </w:div>
    <w:div w:id="412971024">
      <w:bodyDiv w:val="1"/>
      <w:marLeft w:val="0"/>
      <w:marRight w:val="0"/>
      <w:marTop w:val="0"/>
      <w:marBottom w:val="0"/>
      <w:divBdr>
        <w:top w:val="none" w:sz="0" w:space="0" w:color="auto"/>
        <w:left w:val="none" w:sz="0" w:space="0" w:color="auto"/>
        <w:bottom w:val="none" w:sz="0" w:space="0" w:color="auto"/>
        <w:right w:val="none" w:sz="0" w:space="0" w:color="auto"/>
      </w:divBdr>
    </w:div>
    <w:div w:id="439226722">
      <w:bodyDiv w:val="1"/>
      <w:marLeft w:val="0"/>
      <w:marRight w:val="0"/>
      <w:marTop w:val="0"/>
      <w:marBottom w:val="0"/>
      <w:divBdr>
        <w:top w:val="none" w:sz="0" w:space="0" w:color="auto"/>
        <w:left w:val="none" w:sz="0" w:space="0" w:color="auto"/>
        <w:bottom w:val="none" w:sz="0" w:space="0" w:color="auto"/>
        <w:right w:val="none" w:sz="0" w:space="0" w:color="auto"/>
      </w:divBdr>
    </w:div>
    <w:div w:id="446123537">
      <w:bodyDiv w:val="1"/>
      <w:marLeft w:val="0"/>
      <w:marRight w:val="0"/>
      <w:marTop w:val="0"/>
      <w:marBottom w:val="0"/>
      <w:divBdr>
        <w:top w:val="none" w:sz="0" w:space="0" w:color="auto"/>
        <w:left w:val="none" w:sz="0" w:space="0" w:color="auto"/>
        <w:bottom w:val="none" w:sz="0" w:space="0" w:color="auto"/>
        <w:right w:val="none" w:sz="0" w:space="0" w:color="auto"/>
      </w:divBdr>
    </w:div>
    <w:div w:id="452361744">
      <w:bodyDiv w:val="1"/>
      <w:marLeft w:val="0"/>
      <w:marRight w:val="0"/>
      <w:marTop w:val="0"/>
      <w:marBottom w:val="0"/>
      <w:divBdr>
        <w:top w:val="none" w:sz="0" w:space="0" w:color="auto"/>
        <w:left w:val="none" w:sz="0" w:space="0" w:color="auto"/>
        <w:bottom w:val="none" w:sz="0" w:space="0" w:color="auto"/>
        <w:right w:val="none" w:sz="0" w:space="0" w:color="auto"/>
      </w:divBdr>
    </w:div>
    <w:div w:id="501244259">
      <w:bodyDiv w:val="1"/>
      <w:marLeft w:val="0"/>
      <w:marRight w:val="0"/>
      <w:marTop w:val="0"/>
      <w:marBottom w:val="0"/>
      <w:divBdr>
        <w:top w:val="none" w:sz="0" w:space="0" w:color="auto"/>
        <w:left w:val="none" w:sz="0" w:space="0" w:color="auto"/>
        <w:bottom w:val="none" w:sz="0" w:space="0" w:color="auto"/>
        <w:right w:val="none" w:sz="0" w:space="0" w:color="auto"/>
      </w:divBdr>
    </w:div>
    <w:div w:id="588275786">
      <w:bodyDiv w:val="1"/>
      <w:marLeft w:val="0"/>
      <w:marRight w:val="0"/>
      <w:marTop w:val="0"/>
      <w:marBottom w:val="0"/>
      <w:divBdr>
        <w:top w:val="none" w:sz="0" w:space="0" w:color="auto"/>
        <w:left w:val="none" w:sz="0" w:space="0" w:color="auto"/>
        <w:bottom w:val="none" w:sz="0" w:space="0" w:color="auto"/>
        <w:right w:val="none" w:sz="0" w:space="0" w:color="auto"/>
      </w:divBdr>
    </w:div>
    <w:div w:id="592277639">
      <w:bodyDiv w:val="1"/>
      <w:marLeft w:val="0"/>
      <w:marRight w:val="0"/>
      <w:marTop w:val="0"/>
      <w:marBottom w:val="0"/>
      <w:divBdr>
        <w:top w:val="none" w:sz="0" w:space="0" w:color="auto"/>
        <w:left w:val="none" w:sz="0" w:space="0" w:color="auto"/>
        <w:bottom w:val="none" w:sz="0" w:space="0" w:color="auto"/>
        <w:right w:val="none" w:sz="0" w:space="0" w:color="auto"/>
      </w:divBdr>
    </w:div>
    <w:div w:id="634531431">
      <w:bodyDiv w:val="1"/>
      <w:marLeft w:val="0"/>
      <w:marRight w:val="0"/>
      <w:marTop w:val="0"/>
      <w:marBottom w:val="0"/>
      <w:divBdr>
        <w:top w:val="none" w:sz="0" w:space="0" w:color="auto"/>
        <w:left w:val="none" w:sz="0" w:space="0" w:color="auto"/>
        <w:bottom w:val="none" w:sz="0" w:space="0" w:color="auto"/>
        <w:right w:val="none" w:sz="0" w:space="0" w:color="auto"/>
      </w:divBdr>
    </w:div>
    <w:div w:id="641929857">
      <w:bodyDiv w:val="1"/>
      <w:marLeft w:val="0"/>
      <w:marRight w:val="0"/>
      <w:marTop w:val="0"/>
      <w:marBottom w:val="0"/>
      <w:divBdr>
        <w:top w:val="none" w:sz="0" w:space="0" w:color="auto"/>
        <w:left w:val="none" w:sz="0" w:space="0" w:color="auto"/>
        <w:bottom w:val="none" w:sz="0" w:space="0" w:color="auto"/>
        <w:right w:val="none" w:sz="0" w:space="0" w:color="auto"/>
      </w:divBdr>
    </w:div>
    <w:div w:id="657274073">
      <w:bodyDiv w:val="1"/>
      <w:marLeft w:val="0"/>
      <w:marRight w:val="0"/>
      <w:marTop w:val="0"/>
      <w:marBottom w:val="0"/>
      <w:divBdr>
        <w:top w:val="none" w:sz="0" w:space="0" w:color="auto"/>
        <w:left w:val="none" w:sz="0" w:space="0" w:color="auto"/>
        <w:bottom w:val="none" w:sz="0" w:space="0" w:color="auto"/>
        <w:right w:val="none" w:sz="0" w:space="0" w:color="auto"/>
      </w:divBdr>
    </w:div>
    <w:div w:id="661589212">
      <w:bodyDiv w:val="1"/>
      <w:marLeft w:val="0"/>
      <w:marRight w:val="0"/>
      <w:marTop w:val="0"/>
      <w:marBottom w:val="0"/>
      <w:divBdr>
        <w:top w:val="none" w:sz="0" w:space="0" w:color="auto"/>
        <w:left w:val="none" w:sz="0" w:space="0" w:color="auto"/>
        <w:bottom w:val="none" w:sz="0" w:space="0" w:color="auto"/>
        <w:right w:val="none" w:sz="0" w:space="0" w:color="auto"/>
      </w:divBdr>
    </w:div>
    <w:div w:id="679894220">
      <w:bodyDiv w:val="1"/>
      <w:marLeft w:val="0"/>
      <w:marRight w:val="0"/>
      <w:marTop w:val="0"/>
      <w:marBottom w:val="0"/>
      <w:divBdr>
        <w:top w:val="none" w:sz="0" w:space="0" w:color="auto"/>
        <w:left w:val="none" w:sz="0" w:space="0" w:color="auto"/>
        <w:bottom w:val="none" w:sz="0" w:space="0" w:color="auto"/>
        <w:right w:val="none" w:sz="0" w:space="0" w:color="auto"/>
      </w:divBdr>
    </w:div>
    <w:div w:id="718018015">
      <w:bodyDiv w:val="1"/>
      <w:marLeft w:val="0"/>
      <w:marRight w:val="0"/>
      <w:marTop w:val="0"/>
      <w:marBottom w:val="0"/>
      <w:divBdr>
        <w:top w:val="none" w:sz="0" w:space="0" w:color="auto"/>
        <w:left w:val="none" w:sz="0" w:space="0" w:color="auto"/>
        <w:bottom w:val="none" w:sz="0" w:space="0" w:color="auto"/>
        <w:right w:val="none" w:sz="0" w:space="0" w:color="auto"/>
      </w:divBdr>
    </w:div>
    <w:div w:id="730663165">
      <w:bodyDiv w:val="1"/>
      <w:marLeft w:val="0"/>
      <w:marRight w:val="0"/>
      <w:marTop w:val="0"/>
      <w:marBottom w:val="0"/>
      <w:divBdr>
        <w:top w:val="none" w:sz="0" w:space="0" w:color="auto"/>
        <w:left w:val="none" w:sz="0" w:space="0" w:color="auto"/>
        <w:bottom w:val="none" w:sz="0" w:space="0" w:color="auto"/>
        <w:right w:val="none" w:sz="0" w:space="0" w:color="auto"/>
      </w:divBdr>
    </w:div>
    <w:div w:id="755831677">
      <w:bodyDiv w:val="1"/>
      <w:marLeft w:val="0"/>
      <w:marRight w:val="0"/>
      <w:marTop w:val="0"/>
      <w:marBottom w:val="0"/>
      <w:divBdr>
        <w:top w:val="none" w:sz="0" w:space="0" w:color="auto"/>
        <w:left w:val="none" w:sz="0" w:space="0" w:color="auto"/>
        <w:bottom w:val="none" w:sz="0" w:space="0" w:color="auto"/>
        <w:right w:val="none" w:sz="0" w:space="0" w:color="auto"/>
      </w:divBdr>
    </w:div>
    <w:div w:id="773865510">
      <w:bodyDiv w:val="1"/>
      <w:marLeft w:val="0"/>
      <w:marRight w:val="0"/>
      <w:marTop w:val="0"/>
      <w:marBottom w:val="0"/>
      <w:divBdr>
        <w:top w:val="none" w:sz="0" w:space="0" w:color="auto"/>
        <w:left w:val="none" w:sz="0" w:space="0" w:color="auto"/>
        <w:bottom w:val="none" w:sz="0" w:space="0" w:color="auto"/>
        <w:right w:val="none" w:sz="0" w:space="0" w:color="auto"/>
      </w:divBdr>
    </w:div>
    <w:div w:id="776095196">
      <w:bodyDiv w:val="1"/>
      <w:marLeft w:val="0"/>
      <w:marRight w:val="0"/>
      <w:marTop w:val="0"/>
      <w:marBottom w:val="0"/>
      <w:divBdr>
        <w:top w:val="none" w:sz="0" w:space="0" w:color="auto"/>
        <w:left w:val="none" w:sz="0" w:space="0" w:color="auto"/>
        <w:bottom w:val="none" w:sz="0" w:space="0" w:color="auto"/>
        <w:right w:val="none" w:sz="0" w:space="0" w:color="auto"/>
      </w:divBdr>
    </w:div>
    <w:div w:id="817039131">
      <w:bodyDiv w:val="1"/>
      <w:marLeft w:val="0"/>
      <w:marRight w:val="0"/>
      <w:marTop w:val="0"/>
      <w:marBottom w:val="0"/>
      <w:divBdr>
        <w:top w:val="none" w:sz="0" w:space="0" w:color="auto"/>
        <w:left w:val="none" w:sz="0" w:space="0" w:color="auto"/>
        <w:bottom w:val="none" w:sz="0" w:space="0" w:color="auto"/>
        <w:right w:val="none" w:sz="0" w:space="0" w:color="auto"/>
      </w:divBdr>
    </w:div>
    <w:div w:id="825169055">
      <w:bodyDiv w:val="1"/>
      <w:marLeft w:val="0"/>
      <w:marRight w:val="0"/>
      <w:marTop w:val="0"/>
      <w:marBottom w:val="0"/>
      <w:divBdr>
        <w:top w:val="none" w:sz="0" w:space="0" w:color="auto"/>
        <w:left w:val="none" w:sz="0" w:space="0" w:color="auto"/>
        <w:bottom w:val="none" w:sz="0" w:space="0" w:color="auto"/>
        <w:right w:val="none" w:sz="0" w:space="0" w:color="auto"/>
      </w:divBdr>
    </w:div>
    <w:div w:id="879975919">
      <w:bodyDiv w:val="1"/>
      <w:marLeft w:val="0"/>
      <w:marRight w:val="0"/>
      <w:marTop w:val="0"/>
      <w:marBottom w:val="0"/>
      <w:divBdr>
        <w:top w:val="none" w:sz="0" w:space="0" w:color="auto"/>
        <w:left w:val="none" w:sz="0" w:space="0" w:color="auto"/>
        <w:bottom w:val="none" w:sz="0" w:space="0" w:color="auto"/>
        <w:right w:val="none" w:sz="0" w:space="0" w:color="auto"/>
      </w:divBdr>
    </w:div>
    <w:div w:id="927806741">
      <w:bodyDiv w:val="1"/>
      <w:marLeft w:val="0"/>
      <w:marRight w:val="0"/>
      <w:marTop w:val="0"/>
      <w:marBottom w:val="0"/>
      <w:divBdr>
        <w:top w:val="none" w:sz="0" w:space="0" w:color="auto"/>
        <w:left w:val="none" w:sz="0" w:space="0" w:color="auto"/>
        <w:bottom w:val="none" w:sz="0" w:space="0" w:color="auto"/>
        <w:right w:val="none" w:sz="0" w:space="0" w:color="auto"/>
      </w:divBdr>
    </w:div>
    <w:div w:id="932317596">
      <w:bodyDiv w:val="1"/>
      <w:marLeft w:val="0"/>
      <w:marRight w:val="0"/>
      <w:marTop w:val="0"/>
      <w:marBottom w:val="0"/>
      <w:divBdr>
        <w:top w:val="none" w:sz="0" w:space="0" w:color="auto"/>
        <w:left w:val="none" w:sz="0" w:space="0" w:color="auto"/>
        <w:bottom w:val="none" w:sz="0" w:space="0" w:color="auto"/>
        <w:right w:val="none" w:sz="0" w:space="0" w:color="auto"/>
      </w:divBdr>
    </w:div>
    <w:div w:id="950942728">
      <w:bodyDiv w:val="1"/>
      <w:marLeft w:val="0"/>
      <w:marRight w:val="0"/>
      <w:marTop w:val="0"/>
      <w:marBottom w:val="0"/>
      <w:divBdr>
        <w:top w:val="none" w:sz="0" w:space="0" w:color="auto"/>
        <w:left w:val="none" w:sz="0" w:space="0" w:color="auto"/>
        <w:bottom w:val="none" w:sz="0" w:space="0" w:color="auto"/>
        <w:right w:val="none" w:sz="0" w:space="0" w:color="auto"/>
      </w:divBdr>
    </w:div>
    <w:div w:id="963849687">
      <w:bodyDiv w:val="1"/>
      <w:marLeft w:val="0"/>
      <w:marRight w:val="0"/>
      <w:marTop w:val="0"/>
      <w:marBottom w:val="0"/>
      <w:divBdr>
        <w:top w:val="none" w:sz="0" w:space="0" w:color="auto"/>
        <w:left w:val="none" w:sz="0" w:space="0" w:color="auto"/>
        <w:bottom w:val="none" w:sz="0" w:space="0" w:color="auto"/>
        <w:right w:val="none" w:sz="0" w:space="0" w:color="auto"/>
      </w:divBdr>
    </w:div>
    <w:div w:id="965043637">
      <w:bodyDiv w:val="1"/>
      <w:marLeft w:val="0"/>
      <w:marRight w:val="0"/>
      <w:marTop w:val="0"/>
      <w:marBottom w:val="0"/>
      <w:divBdr>
        <w:top w:val="none" w:sz="0" w:space="0" w:color="auto"/>
        <w:left w:val="none" w:sz="0" w:space="0" w:color="auto"/>
        <w:bottom w:val="none" w:sz="0" w:space="0" w:color="auto"/>
        <w:right w:val="none" w:sz="0" w:space="0" w:color="auto"/>
      </w:divBdr>
    </w:div>
    <w:div w:id="981694220">
      <w:bodyDiv w:val="1"/>
      <w:marLeft w:val="0"/>
      <w:marRight w:val="0"/>
      <w:marTop w:val="0"/>
      <w:marBottom w:val="0"/>
      <w:divBdr>
        <w:top w:val="none" w:sz="0" w:space="0" w:color="auto"/>
        <w:left w:val="none" w:sz="0" w:space="0" w:color="auto"/>
        <w:bottom w:val="none" w:sz="0" w:space="0" w:color="auto"/>
        <w:right w:val="none" w:sz="0" w:space="0" w:color="auto"/>
      </w:divBdr>
    </w:div>
    <w:div w:id="1024862462">
      <w:bodyDiv w:val="1"/>
      <w:marLeft w:val="0"/>
      <w:marRight w:val="0"/>
      <w:marTop w:val="0"/>
      <w:marBottom w:val="0"/>
      <w:divBdr>
        <w:top w:val="none" w:sz="0" w:space="0" w:color="auto"/>
        <w:left w:val="none" w:sz="0" w:space="0" w:color="auto"/>
        <w:bottom w:val="none" w:sz="0" w:space="0" w:color="auto"/>
        <w:right w:val="none" w:sz="0" w:space="0" w:color="auto"/>
      </w:divBdr>
    </w:div>
    <w:div w:id="1034038980">
      <w:bodyDiv w:val="1"/>
      <w:marLeft w:val="0"/>
      <w:marRight w:val="0"/>
      <w:marTop w:val="0"/>
      <w:marBottom w:val="0"/>
      <w:divBdr>
        <w:top w:val="none" w:sz="0" w:space="0" w:color="auto"/>
        <w:left w:val="none" w:sz="0" w:space="0" w:color="auto"/>
        <w:bottom w:val="none" w:sz="0" w:space="0" w:color="auto"/>
        <w:right w:val="none" w:sz="0" w:space="0" w:color="auto"/>
      </w:divBdr>
    </w:div>
    <w:div w:id="1036661435">
      <w:bodyDiv w:val="1"/>
      <w:marLeft w:val="0"/>
      <w:marRight w:val="0"/>
      <w:marTop w:val="0"/>
      <w:marBottom w:val="0"/>
      <w:divBdr>
        <w:top w:val="none" w:sz="0" w:space="0" w:color="auto"/>
        <w:left w:val="none" w:sz="0" w:space="0" w:color="auto"/>
        <w:bottom w:val="none" w:sz="0" w:space="0" w:color="auto"/>
        <w:right w:val="none" w:sz="0" w:space="0" w:color="auto"/>
      </w:divBdr>
    </w:div>
    <w:div w:id="1043290667">
      <w:bodyDiv w:val="1"/>
      <w:marLeft w:val="0"/>
      <w:marRight w:val="0"/>
      <w:marTop w:val="0"/>
      <w:marBottom w:val="0"/>
      <w:divBdr>
        <w:top w:val="none" w:sz="0" w:space="0" w:color="auto"/>
        <w:left w:val="none" w:sz="0" w:space="0" w:color="auto"/>
        <w:bottom w:val="none" w:sz="0" w:space="0" w:color="auto"/>
        <w:right w:val="none" w:sz="0" w:space="0" w:color="auto"/>
      </w:divBdr>
    </w:div>
    <w:div w:id="1055660766">
      <w:bodyDiv w:val="1"/>
      <w:marLeft w:val="0"/>
      <w:marRight w:val="0"/>
      <w:marTop w:val="0"/>
      <w:marBottom w:val="0"/>
      <w:divBdr>
        <w:top w:val="none" w:sz="0" w:space="0" w:color="auto"/>
        <w:left w:val="none" w:sz="0" w:space="0" w:color="auto"/>
        <w:bottom w:val="none" w:sz="0" w:space="0" w:color="auto"/>
        <w:right w:val="none" w:sz="0" w:space="0" w:color="auto"/>
      </w:divBdr>
    </w:div>
    <w:div w:id="1058089060">
      <w:bodyDiv w:val="1"/>
      <w:marLeft w:val="0"/>
      <w:marRight w:val="0"/>
      <w:marTop w:val="0"/>
      <w:marBottom w:val="0"/>
      <w:divBdr>
        <w:top w:val="none" w:sz="0" w:space="0" w:color="auto"/>
        <w:left w:val="none" w:sz="0" w:space="0" w:color="auto"/>
        <w:bottom w:val="none" w:sz="0" w:space="0" w:color="auto"/>
        <w:right w:val="none" w:sz="0" w:space="0" w:color="auto"/>
      </w:divBdr>
    </w:div>
    <w:div w:id="1060052953">
      <w:bodyDiv w:val="1"/>
      <w:marLeft w:val="0"/>
      <w:marRight w:val="0"/>
      <w:marTop w:val="0"/>
      <w:marBottom w:val="0"/>
      <w:divBdr>
        <w:top w:val="none" w:sz="0" w:space="0" w:color="auto"/>
        <w:left w:val="none" w:sz="0" w:space="0" w:color="auto"/>
        <w:bottom w:val="none" w:sz="0" w:space="0" w:color="auto"/>
        <w:right w:val="none" w:sz="0" w:space="0" w:color="auto"/>
      </w:divBdr>
    </w:div>
    <w:div w:id="1068767248">
      <w:bodyDiv w:val="1"/>
      <w:marLeft w:val="0"/>
      <w:marRight w:val="0"/>
      <w:marTop w:val="0"/>
      <w:marBottom w:val="0"/>
      <w:divBdr>
        <w:top w:val="none" w:sz="0" w:space="0" w:color="auto"/>
        <w:left w:val="none" w:sz="0" w:space="0" w:color="auto"/>
        <w:bottom w:val="none" w:sz="0" w:space="0" w:color="auto"/>
        <w:right w:val="none" w:sz="0" w:space="0" w:color="auto"/>
      </w:divBdr>
    </w:div>
    <w:div w:id="1077242029">
      <w:bodyDiv w:val="1"/>
      <w:marLeft w:val="0"/>
      <w:marRight w:val="0"/>
      <w:marTop w:val="0"/>
      <w:marBottom w:val="0"/>
      <w:divBdr>
        <w:top w:val="none" w:sz="0" w:space="0" w:color="auto"/>
        <w:left w:val="none" w:sz="0" w:space="0" w:color="auto"/>
        <w:bottom w:val="none" w:sz="0" w:space="0" w:color="auto"/>
        <w:right w:val="none" w:sz="0" w:space="0" w:color="auto"/>
      </w:divBdr>
    </w:div>
    <w:div w:id="1130244752">
      <w:bodyDiv w:val="1"/>
      <w:marLeft w:val="0"/>
      <w:marRight w:val="0"/>
      <w:marTop w:val="0"/>
      <w:marBottom w:val="0"/>
      <w:divBdr>
        <w:top w:val="none" w:sz="0" w:space="0" w:color="auto"/>
        <w:left w:val="none" w:sz="0" w:space="0" w:color="auto"/>
        <w:bottom w:val="none" w:sz="0" w:space="0" w:color="auto"/>
        <w:right w:val="none" w:sz="0" w:space="0" w:color="auto"/>
      </w:divBdr>
    </w:div>
    <w:div w:id="1144198540">
      <w:bodyDiv w:val="1"/>
      <w:marLeft w:val="0"/>
      <w:marRight w:val="0"/>
      <w:marTop w:val="0"/>
      <w:marBottom w:val="0"/>
      <w:divBdr>
        <w:top w:val="none" w:sz="0" w:space="0" w:color="auto"/>
        <w:left w:val="none" w:sz="0" w:space="0" w:color="auto"/>
        <w:bottom w:val="none" w:sz="0" w:space="0" w:color="auto"/>
        <w:right w:val="none" w:sz="0" w:space="0" w:color="auto"/>
      </w:divBdr>
    </w:div>
    <w:div w:id="1165316680">
      <w:bodyDiv w:val="1"/>
      <w:marLeft w:val="0"/>
      <w:marRight w:val="0"/>
      <w:marTop w:val="0"/>
      <w:marBottom w:val="0"/>
      <w:divBdr>
        <w:top w:val="none" w:sz="0" w:space="0" w:color="auto"/>
        <w:left w:val="none" w:sz="0" w:space="0" w:color="auto"/>
        <w:bottom w:val="none" w:sz="0" w:space="0" w:color="auto"/>
        <w:right w:val="none" w:sz="0" w:space="0" w:color="auto"/>
      </w:divBdr>
    </w:div>
    <w:div w:id="1167407259">
      <w:bodyDiv w:val="1"/>
      <w:marLeft w:val="0"/>
      <w:marRight w:val="0"/>
      <w:marTop w:val="0"/>
      <w:marBottom w:val="0"/>
      <w:divBdr>
        <w:top w:val="none" w:sz="0" w:space="0" w:color="auto"/>
        <w:left w:val="none" w:sz="0" w:space="0" w:color="auto"/>
        <w:bottom w:val="none" w:sz="0" w:space="0" w:color="auto"/>
        <w:right w:val="none" w:sz="0" w:space="0" w:color="auto"/>
      </w:divBdr>
    </w:div>
    <w:div w:id="1219902838">
      <w:bodyDiv w:val="1"/>
      <w:marLeft w:val="0"/>
      <w:marRight w:val="0"/>
      <w:marTop w:val="0"/>
      <w:marBottom w:val="0"/>
      <w:divBdr>
        <w:top w:val="none" w:sz="0" w:space="0" w:color="auto"/>
        <w:left w:val="none" w:sz="0" w:space="0" w:color="auto"/>
        <w:bottom w:val="none" w:sz="0" w:space="0" w:color="auto"/>
        <w:right w:val="none" w:sz="0" w:space="0" w:color="auto"/>
      </w:divBdr>
    </w:div>
    <w:div w:id="1249656458">
      <w:bodyDiv w:val="1"/>
      <w:marLeft w:val="0"/>
      <w:marRight w:val="0"/>
      <w:marTop w:val="0"/>
      <w:marBottom w:val="0"/>
      <w:divBdr>
        <w:top w:val="none" w:sz="0" w:space="0" w:color="auto"/>
        <w:left w:val="none" w:sz="0" w:space="0" w:color="auto"/>
        <w:bottom w:val="none" w:sz="0" w:space="0" w:color="auto"/>
        <w:right w:val="none" w:sz="0" w:space="0" w:color="auto"/>
      </w:divBdr>
    </w:div>
    <w:div w:id="1294630282">
      <w:bodyDiv w:val="1"/>
      <w:marLeft w:val="0"/>
      <w:marRight w:val="0"/>
      <w:marTop w:val="0"/>
      <w:marBottom w:val="0"/>
      <w:divBdr>
        <w:top w:val="none" w:sz="0" w:space="0" w:color="auto"/>
        <w:left w:val="none" w:sz="0" w:space="0" w:color="auto"/>
        <w:bottom w:val="none" w:sz="0" w:space="0" w:color="auto"/>
        <w:right w:val="none" w:sz="0" w:space="0" w:color="auto"/>
      </w:divBdr>
    </w:div>
    <w:div w:id="1315065693">
      <w:bodyDiv w:val="1"/>
      <w:marLeft w:val="0"/>
      <w:marRight w:val="0"/>
      <w:marTop w:val="0"/>
      <w:marBottom w:val="0"/>
      <w:divBdr>
        <w:top w:val="none" w:sz="0" w:space="0" w:color="auto"/>
        <w:left w:val="none" w:sz="0" w:space="0" w:color="auto"/>
        <w:bottom w:val="none" w:sz="0" w:space="0" w:color="auto"/>
        <w:right w:val="none" w:sz="0" w:space="0" w:color="auto"/>
      </w:divBdr>
    </w:div>
    <w:div w:id="1319919110">
      <w:bodyDiv w:val="1"/>
      <w:marLeft w:val="0"/>
      <w:marRight w:val="0"/>
      <w:marTop w:val="0"/>
      <w:marBottom w:val="0"/>
      <w:divBdr>
        <w:top w:val="none" w:sz="0" w:space="0" w:color="auto"/>
        <w:left w:val="none" w:sz="0" w:space="0" w:color="auto"/>
        <w:bottom w:val="none" w:sz="0" w:space="0" w:color="auto"/>
        <w:right w:val="none" w:sz="0" w:space="0" w:color="auto"/>
      </w:divBdr>
    </w:div>
    <w:div w:id="1336834530">
      <w:bodyDiv w:val="1"/>
      <w:marLeft w:val="0"/>
      <w:marRight w:val="0"/>
      <w:marTop w:val="0"/>
      <w:marBottom w:val="0"/>
      <w:divBdr>
        <w:top w:val="none" w:sz="0" w:space="0" w:color="auto"/>
        <w:left w:val="none" w:sz="0" w:space="0" w:color="auto"/>
        <w:bottom w:val="none" w:sz="0" w:space="0" w:color="auto"/>
        <w:right w:val="none" w:sz="0" w:space="0" w:color="auto"/>
      </w:divBdr>
    </w:div>
    <w:div w:id="1338266049">
      <w:bodyDiv w:val="1"/>
      <w:marLeft w:val="0"/>
      <w:marRight w:val="0"/>
      <w:marTop w:val="0"/>
      <w:marBottom w:val="0"/>
      <w:divBdr>
        <w:top w:val="none" w:sz="0" w:space="0" w:color="auto"/>
        <w:left w:val="none" w:sz="0" w:space="0" w:color="auto"/>
        <w:bottom w:val="none" w:sz="0" w:space="0" w:color="auto"/>
        <w:right w:val="none" w:sz="0" w:space="0" w:color="auto"/>
      </w:divBdr>
    </w:div>
    <w:div w:id="1346711751">
      <w:bodyDiv w:val="1"/>
      <w:marLeft w:val="0"/>
      <w:marRight w:val="0"/>
      <w:marTop w:val="0"/>
      <w:marBottom w:val="0"/>
      <w:divBdr>
        <w:top w:val="none" w:sz="0" w:space="0" w:color="auto"/>
        <w:left w:val="none" w:sz="0" w:space="0" w:color="auto"/>
        <w:bottom w:val="none" w:sz="0" w:space="0" w:color="auto"/>
        <w:right w:val="none" w:sz="0" w:space="0" w:color="auto"/>
      </w:divBdr>
    </w:div>
    <w:div w:id="1394427660">
      <w:bodyDiv w:val="1"/>
      <w:marLeft w:val="0"/>
      <w:marRight w:val="0"/>
      <w:marTop w:val="0"/>
      <w:marBottom w:val="0"/>
      <w:divBdr>
        <w:top w:val="none" w:sz="0" w:space="0" w:color="auto"/>
        <w:left w:val="none" w:sz="0" w:space="0" w:color="auto"/>
        <w:bottom w:val="none" w:sz="0" w:space="0" w:color="auto"/>
        <w:right w:val="none" w:sz="0" w:space="0" w:color="auto"/>
      </w:divBdr>
    </w:div>
    <w:div w:id="1416052650">
      <w:bodyDiv w:val="1"/>
      <w:marLeft w:val="0"/>
      <w:marRight w:val="0"/>
      <w:marTop w:val="0"/>
      <w:marBottom w:val="0"/>
      <w:divBdr>
        <w:top w:val="none" w:sz="0" w:space="0" w:color="auto"/>
        <w:left w:val="none" w:sz="0" w:space="0" w:color="auto"/>
        <w:bottom w:val="none" w:sz="0" w:space="0" w:color="auto"/>
        <w:right w:val="none" w:sz="0" w:space="0" w:color="auto"/>
      </w:divBdr>
    </w:div>
    <w:div w:id="1439638006">
      <w:bodyDiv w:val="1"/>
      <w:marLeft w:val="0"/>
      <w:marRight w:val="0"/>
      <w:marTop w:val="0"/>
      <w:marBottom w:val="0"/>
      <w:divBdr>
        <w:top w:val="none" w:sz="0" w:space="0" w:color="auto"/>
        <w:left w:val="none" w:sz="0" w:space="0" w:color="auto"/>
        <w:bottom w:val="none" w:sz="0" w:space="0" w:color="auto"/>
        <w:right w:val="none" w:sz="0" w:space="0" w:color="auto"/>
      </w:divBdr>
    </w:div>
    <w:div w:id="1470826593">
      <w:bodyDiv w:val="1"/>
      <w:marLeft w:val="0"/>
      <w:marRight w:val="0"/>
      <w:marTop w:val="0"/>
      <w:marBottom w:val="0"/>
      <w:divBdr>
        <w:top w:val="none" w:sz="0" w:space="0" w:color="auto"/>
        <w:left w:val="none" w:sz="0" w:space="0" w:color="auto"/>
        <w:bottom w:val="none" w:sz="0" w:space="0" w:color="auto"/>
        <w:right w:val="none" w:sz="0" w:space="0" w:color="auto"/>
      </w:divBdr>
    </w:div>
    <w:div w:id="1474518546">
      <w:bodyDiv w:val="1"/>
      <w:marLeft w:val="0"/>
      <w:marRight w:val="0"/>
      <w:marTop w:val="0"/>
      <w:marBottom w:val="0"/>
      <w:divBdr>
        <w:top w:val="none" w:sz="0" w:space="0" w:color="auto"/>
        <w:left w:val="none" w:sz="0" w:space="0" w:color="auto"/>
        <w:bottom w:val="none" w:sz="0" w:space="0" w:color="auto"/>
        <w:right w:val="none" w:sz="0" w:space="0" w:color="auto"/>
      </w:divBdr>
    </w:div>
    <w:div w:id="1493570130">
      <w:bodyDiv w:val="1"/>
      <w:marLeft w:val="0"/>
      <w:marRight w:val="0"/>
      <w:marTop w:val="0"/>
      <w:marBottom w:val="0"/>
      <w:divBdr>
        <w:top w:val="none" w:sz="0" w:space="0" w:color="auto"/>
        <w:left w:val="none" w:sz="0" w:space="0" w:color="auto"/>
        <w:bottom w:val="none" w:sz="0" w:space="0" w:color="auto"/>
        <w:right w:val="none" w:sz="0" w:space="0" w:color="auto"/>
      </w:divBdr>
    </w:div>
    <w:div w:id="1527907992">
      <w:bodyDiv w:val="1"/>
      <w:marLeft w:val="0"/>
      <w:marRight w:val="0"/>
      <w:marTop w:val="0"/>
      <w:marBottom w:val="0"/>
      <w:divBdr>
        <w:top w:val="none" w:sz="0" w:space="0" w:color="auto"/>
        <w:left w:val="none" w:sz="0" w:space="0" w:color="auto"/>
        <w:bottom w:val="none" w:sz="0" w:space="0" w:color="auto"/>
        <w:right w:val="none" w:sz="0" w:space="0" w:color="auto"/>
      </w:divBdr>
    </w:div>
    <w:div w:id="1562405697">
      <w:bodyDiv w:val="1"/>
      <w:marLeft w:val="0"/>
      <w:marRight w:val="0"/>
      <w:marTop w:val="0"/>
      <w:marBottom w:val="0"/>
      <w:divBdr>
        <w:top w:val="none" w:sz="0" w:space="0" w:color="auto"/>
        <w:left w:val="none" w:sz="0" w:space="0" w:color="auto"/>
        <w:bottom w:val="none" w:sz="0" w:space="0" w:color="auto"/>
        <w:right w:val="none" w:sz="0" w:space="0" w:color="auto"/>
      </w:divBdr>
    </w:div>
    <w:div w:id="1564175275">
      <w:bodyDiv w:val="1"/>
      <w:marLeft w:val="0"/>
      <w:marRight w:val="0"/>
      <w:marTop w:val="0"/>
      <w:marBottom w:val="0"/>
      <w:divBdr>
        <w:top w:val="none" w:sz="0" w:space="0" w:color="auto"/>
        <w:left w:val="none" w:sz="0" w:space="0" w:color="auto"/>
        <w:bottom w:val="none" w:sz="0" w:space="0" w:color="auto"/>
        <w:right w:val="none" w:sz="0" w:space="0" w:color="auto"/>
      </w:divBdr>
    </w:div>
    <w:div w:id="1571961599">
      <w:bodyDiv w:val="1"/>
      <w:marLeft w:val="0"/>
      <w:marRight w:val="0"/>
      <w:marTop w:val="0"/>
      <w:marBottom w:val="0"/>
      <w:divBdr>
        <w:top w:val="none" w:sz="0" w:space="0" w:color="auto"/>
        <w:left w:val="none" w:sz="0" w:space="0" w:color="auto"/>
        <w:bottom w:val="none" w:sz="0" w:space="0" w:color="auto"/>
        <w:right w:val="none" w:sz="0" w:space="0" w:color="auto"/>
      </w:divBdr>
    </w:div>
    <w:div w:id="1575580420">
      <w:bodyDiv w:val="1"/>
      <w:marLeft w:val="0"/>
      <w:marRight w:val="0"/>
      <w:marTop w:val="0"/>
      <w:marBottom w:val="0"/>
      <w:divBdr>
        <w:top w:val="none" w:sz="0" w:space="0" w:color="auto"/>
        <w:left w:val="none" w:sz="0" w:space="0" w:color="auto"/>
        <w:bottom w:val="none" w:sz="0" w:space="0" w:color="auto"/>
        <w:right w:val="none" w:sz="0" w:space="0" w:color="auto"/>
      </w:divBdr>
    </w:div>
    <w:div w:id="1581522690">
      <w:bodyDiv w:val="1"/>
      <w:marLeft w:val="0"/>
      <w:marRight w:val="0"/>
      <w:marTop w:val="0"/>
      <w:marBottom w:val="0"/>
      <w:divBdr>
        <w:top w:val="none" w:sz="0" w:space="0" w:color="auto"/>
        <w:left w:val="none" w:sz="0" w:space="0" w:color="auto"/>
        <w:bottom w:val="none" w:sz="0" w:space="0" w:color="auto"/>
        <w:right w:val="none" w:sz="0" w:space="0" w:color="auto"/>
      </w:divBdr>
    </w:div>
    <w:div w:id="1619488370">
      <w:bodyDiv w:val="1"/>
      <w:marLeft w:val="0"/>
      <w:marRight w:val="0"/>
      <w:marTop w:val="0"/>
      <w:marBottom w:val="0"/>
      <w:divBdr>
        <w:top w:val="none" w:sz="0" w:space="0" w:color="auto"/>
        <w:left w:val="none" w:sz="0" w:space="0" w:color="auto"/>
        <w:bottom w:val="none" w:sz="0" w:space="0" w:color="auto"/>
        <w:right w:val="none" w:sz="0" w:space="0" w:color="auto"/>
      </w:divBdr>
    </w:div>
    <w:div w:id="1640721510">
      <w:bodyDiv w:val="1"/>
      <w:marLeft w:val="0"/>
      <w:marRight w:val="0"/>
      <w:marTop w:val="0"/>
      <w:marBottom w:val="0"/>
      <w:divBdr>
        <w:top w:val="none" w:sz="0" w:space="0" w:color="auto"/>
        <w:left w:val="none" w:sz="0" w:space="0" w:color="auto"/>
        <w:bottom w:val="none" w:sz="0" w:space="0" w:color="auto"/>
        <w:right w:val="none" w:sz="0" w:space="0" w:color="auto"/>
      </w:divBdr>
    </w:div>
    <w:div w:id="1648045311">
      <w:bodyDiv w:val="1"/>
      <w:marLeft w:val="0"/>
      <w:marRight w:val="0"/>
      <w:marTop w:val="0"/>
      <w:marBottom w:val="0"/>
      <w:divBdr>
        <w:top w:val="none" w:sz="0" w:space="0" w:color="auto"/>
        <w:left w:val="none" w:sz="0" w:space="0" w:color="auto"/>
        <w:bottom w:val="none" w:sz="0" w:space="0" w:color="auto"/>
        <w:right w:val="none" w:sz="0" w:space="0" w:color="auto"/>
      </w:divBdr>
    </w:div>
    <w:div w:id="1651523441">
      <w:bodyDiv w:val="1"/>
      <w:marLeft w:val="0"/>
      <w:marRight w:val="0"/>
      <w:marTop w:val="0"/>
      <w:marBottom w:val="0"/>
      <w:divBdr>
        <w:top w:val="none" w:sz="0" w:space="0" w:color="auto"/>
        <w:left w:val="none" w:sz="0" w:space="0" w:color="auto"/>
        <w:bottom w:val="none" w:sz="0" w:space="0" w:color="auto"/>
        <w:right w:val="none" w:sz="0" w:space="0" w:color="auto"/>
      </w:divBdr>
    </w:div>
    <w:div w:id="1656302374">
      <w:bodyDiv w:val="1"/>
      <w:marLeft w:val="0"/>
      <w:marRight w:val="0"/>
      <w:marTop w:val="0"/>
      <w:marBottom w:val="0"/>
      <w:divBdr>
        <w:top w:val="none" w:sz="0" w:space="0" w:color="auto"/>
        <w:left w:val="none" w:sz="0" w:space="0" w:color="auto"/>
        <w:bottom w:val="none" w:sz="0" w:space="0" w:color="auto"/>
        <w:right w:val="none" w:sz="0" w:space="0" w:color="auto"/>
      </w:divBdr>
    </w:div>
    <w:div w:id="1658726002">
      <w:bodyDiv w:val="1"/>
      <w:marLeft w:val="0"/>
      <w:marRight w:val="0"/>
      <w:marTop w:val="0"/>
      <w:marBottom w:val="0"/>
      <w:divBdr>
        <w:top w:val="none" w:sz="0" w:space="0" w:color="auto"/>
        <w:left w:val="none" w:sz="0" w:space="0" w:color="auto"/>
        <w:bottom w:val="none" w:sz="0" w:space="0" w:color="auto"/>
        <w:right w:val="none" w:sz="0" w:space="0" w:color="auto"/>
      </w:divBdr>
    </w:div>
    <w:div w:id="1670786966">
      <w:bodyDiv w:val="1"/>
      <w:marLeft w:val="0"/>
      <w:marRight w:val="0"/>
      <w:marTop w:val="0"/>
      <w:marBottom w:val="0"/>
      <w:divBdr>
        <w:top w:val="none" w:sz="0" w:space="0" w:color="auto"/>
        <w:left w:val="none" w:sz="0" w:space="0" w:color="auto"/>
        <w:bottom w:val="none" w:sz="0" w:space="0" w:color="auto"/>
        <w:right w:val="none" w:sz="0" w:space="0" w:color="auto"/>
      </w:divBdr>
    </w:div>
    <w:div w:id="1677998777">
      <w:bodyDiv w:val="1"/>
      <w:marLeft w:val="0"/>
      <w:marRight w:val="0"/>
      <w:marTop w:val="0"/>
      <w:marBottom w:val="0"/>
      <w:divBdr>
        <w:top w:val="none" w:sz="0" w:space="0" w:color="auto"/>
        <w:left w:val="none" w:sz="0" w:space="0" w:color="auto"/>
        <w:bottom w:val="none" w:sz="0" w:space="0" w:color="auto"/>
        <w:right w:val="none" w:sz="0" w:space="0" w:color="auto"/>
      </w:divBdr>
    </w:div>
    <w:div w:id="1693996613">
      <w:bodyDiv w:val="1"/>
      <w:marLeft w:val="0"/>
      <w:marRight w:val="0"/>
      <w:marTop w:val="0"/>
      <w:marBottom w:val="0"/>
      <w:divBdr>
        <w:top w:val="none" w:sz="0" w:space="0" w:color="auto"/>
        <w:left w:val="none" w:sz="0" w:space="0" w:color="auto"/>
        <w:bottom w:val="none" w:sz="0" w:space="0" w:color="auto"/>
        <w:right w:val="none" w:sz="0" w:space="0" w:color="auto"/>
      </w:divBdr>
    </w:div>
    <w:div w:id="1698889736">
      <w:bodyDiv w:val="1"/>
      <w:marLeft w:val="0"/>
      <w:marRight w:val="0"/>
      <w:marTop w:val="0"/>
      <w:marBottom w:val="0"/>
      <w:divBdr>
        <w:top w:val="none" w:sz="0" w:space="0" w:color="auto"/>
        <w:left w:val="none" w:sz="0" w:space="0" w:color="auto"/>
        <w:bottom w:val="none" w:sz="0" w:space="0" w:color="auto"/>
        <w:right w:val="none" w:sz="0" w:space="0" w:color="auto"/>
      </w:divBdr>
    </w:div>
    <w:div w:id="1732651711">
      <w:bodyDiv w:val="1"/>
      <w:marLeft w:val="0"/>
      <w:marRight w:val="0"/>
      <w:marTop w:val="0"/>
      <w:marBottom w:val="0"/>
      <w:divBdr>
        <w:top w:val="none" w:sz="0" w:space="0" w:color="auto"/>
        <w:left w:val="none" w:sz="0" w:space="0" w:color="auto"/>
        <w:bottom w:val="none" w:sz="0" w:space="0" w:color="auto"/>
        <w:right w:val="none" w:sz="0" w:space="0" w:color="auto"/>
      </w:divBdr>
    </w:div>
    <w:div w:id="1750078323">
      <w:bodyDiv w:val="1"/>
      <w:marLeft w:val="0"/>
      <w:marRight w:val="0"/>
      <w:marTop w:val="0"/>
      <w:marBottom w:val="0"/>
      <w:divBdr>
        <w:top w:val="none" w:sz="0" w:space="0" w:color="auto"/>
        <w:left w:val="none" w:sz="0" w:space="0" w:color="auto"/>
        <w:bottom w:val="none" w:sz="0" w:space="0" w:color="auto"/>
        <w:right w:val="none" w:sz="0" w:space="0" w:color="auto"/>
      </w:divBdr>
    </w:div>
    <w:div w:id="1754471314">
      <w:bodyDiv w:val="1"/>
      <w:marLeft w:val="0"/>
      <w:marRight w:val="0"/>
      <w:marTop w:val="0"/>
      <w:marBottom w:val="0"/>
      <w:divBdr>
        <w:top w:val="none" w:sz="0" w:space="0" w:color="auto"/>
        <w:left w:val="none" w:sz="0" w:space="0" w:color="auto"/>
        <w:bottom w:val="none" w:sz="0" w:space="0" w:color="auto"/>
        <w:right w:val="none" w:sz="0" w:space="0" w:color="auto"/>
      </w:divBdr>
    </w:div>
    <w:div w:id="1760903874">
      <w:bodyDiv w:val="1"/>
      <w:marLeft w:val="0"/>
      <w:marRight w:val="0"/>
      <w:marTop w:val="0"/>
      <w:marBottom w:val="0"/>
      <w:divBdr>
        <w:top w:val="none" w:sz="0" w:space="0" w:color="auto"/>
        <w:left w:val="none" w:sz="0" w:space="0" w:color="auto"/>
        <w:bottom w:val="none" w:sz="0" w:space="0" w:color="auto"/>
        <w:right w:val="none" w:sz="0" w:space="0" w:color="auto"/>
      </w:divBdr>
    </w:div>
    <w:div w:id="1802185579">
      <w:bodyDiv w:val="1"/>
      <w:marLeft w:val="0"/>
      <w:marRight w:val="0"/>
      <w:marTop w:val="0"/>
      <w:marBottom w:val="0"/>
      <w:divBdr>
        <w:top w:val="none" w:sz="0" w:space="0" w:color="auto"/>
        <w:left w:val="none" w:sz="0" w:space="0" w:color="auto"/>
        <w:bottom w:val="none" w:sz="0" w:space="0" w:color="auto"/>
        <w:right w:val="none" w:sz="0" w:space="0" w:color="auto"/>
      </w:divBdr>
    </w:div>
    <w:div w:id="1815834568">
      <w:bodyDiv w:val="1"/>
      <w:marLeft w:val="0"/>
      <w:marRight w:val="0"/>
      <w:marTop w:val="0"/>
      <w:marBottom w:val="0"/>
      <w:divBdr>
        <w:top w:val="none" w:sz="0" w:space="0" w:color="auto"/>
        <w:left w:val="none" w:sz="0" w:space="0" w:color="auto"/>
        <w:bottom w:val="none" w:sz="0" w:space="0" w:color="auto"/>
        <w:right w:val="none" w:sz="0" w:space="0" w:color="auto"/>
      </w:divBdr>
    </w:div>
    <w:div w:id="1833375477">
      <w:bodyDiv w:val="1"/>
      <w:marLeft w:val="0"/>
      <w:marRight w:val="0"/>
      <w:marTop w:val="0"/>
      <w:marBottom w:val="0"/>
      <w:divBdr>
        <w:top w:val="none" w:sz="0" w:space="0" w:color="auto"/>
        <w:left w:val="none" w:sz="0" w:space="0" w:color="auto"/>
        <w:bottom w:val="none" w:sz="0" w:space="0" w:color="auto"/>
        <w:right w:val="none" w:sz="0" w:space="0" w:color="auto"/>
      </w:divBdr>
    </w:div>
    <w:div w:id="1846556798">
      <w:bodyDiv w:val="1"/>
      <w:marLeft w:val="0"/>
      <w:marRight w:val="0"/>
      <w:marTop w:val="0"/>
      <w:marBottom w:val="0"/>
      <w:divBdr>
        <w:top w:val="none" w:sz="0" w:space="0" w:color="auto"/>
        <w:left w:val="none" w:sz="0" w:space="0" w:color="auto"/>
        <w:bottom w:val="none" w:sz="0" w:space="0" w:color="auto"/>
        <w:right w:val="none" w:sz="0" w:space="0" w:color="auto"/>
      </w:divBdr>
    </w:div>
    <w:div w:id="1875654532">
      <w:bodyDiv w:val="1"/>
      <w:marLeft w:val="0"/>
      <w:marRight w:val="0"/>
      <w:marTop w:val="0"/>
      <w:marBottom w:val="0"/>
      <w:divBdr>
        <w:top w:val="none" w:sz="0" w:space="0" w:color="auto"/>
        <w:left w:val="none" w:sz="0" w:space="0" w:color="auto"/>
        <w:bottom w:val="none" w:sz="0" w:space="0" w:color="auto"/>
        <w:right w:val="none" w:sz="0" w:space="0" w:color="auto"/>
      </w:divBdr>
    </w:div>
    <w:div w:id="1924682608">
      <w:bodyDiv w:val="1"/>
      <w:marLeft w:val="0"/>
      <w:marRight w:val="0"/>
      <w:marTop w:val="0"/>
      <w:marBottom w:val="0"/>
      <w:divBdr>
        <w:top w:val="none" w:sz="0" w:space="0" w:color="auto"/>
        <w:left w:val="none" w:sz="0" w:space="0" w:color="auto"/>
        <w:bottom w:val="none" w:sz="0" w:space="0" w:color="auto"/>
        <w:right w:val="none" w:sz="0" w:space="0" w:color="auto"/>
      </w:divBdr>
    </w:div>
    <w:div w:id="1928420240">
      <w:bodyDiv w:val="1"/>
      <w:marLeft w:val="0"/>
      <w:marRight w:val="0"/>
      <w:marTop w:val="0"/>
      <w:marBottom w:val="0"/>
      <w:divBdr>
        <w:top w:val="none" w:sz="0" w:space="0" w:color="auto"/>
        <w:left w:val="none" w:sz="0" w:space="0" w:color="auto"/>
        <w:bottom w:val="none" w:sz="0" w:space="0" w:color="auto"/>
        <w:right w:val="none" w:sz="0" w:space="0" w:color="auto"/>
      </w:divBdr>
    </w:div>
    <w:div w:id="1971671350">
      <w:bodyDiv w:val="1"/>
      <w:marLeft w:val="0"/>
      <w:marRight w:val="0"/>
      <w:marTop w:val="0"/>
      <w:marBottom w:val="0"/>
      <w:divBdr>
        <w:top w:val="none" w:sz="0" w:space="0" w:color="auto"/>
        <w:left w:val="none" w:sz="0" w:space="0" w:color="auto"/>
        <w:bottom w:val="none" w:sz="0" w:space="0" w:color="auto"/>
        <w:right w:val="none" w:sz="0" w:space="0" w:color="auto"/>
      </w:divBdr>
    </w:div>
    <w:div w:id="2090999541">
      <w:bodyDiv w:val="1"/>
      <w:marLeft w:val="0"/>
      <w:marRight w:val="0"/>
      <w:marTop w:val="0"/>
      <w:marBottom w:val="0"/>
      <w:divBdr>
        <w:top w:val="none" w:sz="0" w:space="0" w:color="auto"/>
        <w:left w:val="none" w:sz="0" w:space="0" w:color="auto"/>
        <w:bottom w:val="none" w:sz="0" w:space="0" w:color="auto"/>
        <w:right w:val="none" w:sz="0" w:space="0" w:color="auto"/>
      </w:divBdr>
    </w:div>
    <w:div w:id="2125880964">
      <w:bodyDiv w:val="1"/>
      <w:marLeft w:val="0"/>
      <w:marRight w:val="0"/>
      <w:marTop w:val="0"/>
      <w:marBottom w:val="0"/>
      <w:divBdr>
        <w:top w:val="none" w:sz="0" w:space="0" w:color="auto"/>
        <w:left w:val="none" w:sz="0" w:space="0" w:color="auto"/>
        <w:bottom w:val="none" w:sz="0" w:space="0" w:color="auto"/>
        <w:right w:val="none" w:sz="0" w:space="0" w:color="auto"/>
      </w:divBdr>
    </w:div>
    <w:div w:id="213347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jp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safeguardingadults.salford.gov.uk/professionals/information-sharing-and-confidentiality/" TargetMode="External"/><Relationship Id="rId2" Type="http://schemas.openxmlformats.org/officeDocument/2006/relationships/hyperlink" Target="https://safeguardingadults.salford.gov.uk/professionals/self-neglect/" TargetMode="External"/><Relationship Id="rId1" Type="http://schemas.openxmlformats.org/officeDocument/2006/relationships/hyperlink" Target="https://safeguardingadults.salford.gov.uk/professionals/self-negl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07AD628ADB7D40A029DAE545C60438" ma:contentTypeVersion="15" ma:contentTypeDescription="Create a new document." ma:contentTypeScope="" ma:versionID="50f86d314d28ec75a607b36fc724149d">
  <xsd:schema xmlns:xsd="http://www.w3.org/2001/XMLSchema" xmlns:xs="http://www.w3.org/2001/XMLSchema" xmlns:p="http://schemas.microsoft.com/office/2006/metadata/properties" xmlns:ns2="915cb496-f9f9-41bb-a56d-86ac15cda905" xmlns:ns3="8f0a66a3-cabc-4909-b63f-42a8c95083d3" targetNamespace="http://schemas.microsoft.com/office/2006/metadata/properties" ma:root="true" ma:fieldsID="0a02ee902d48449b7e16c31142ba1b02" ns2:_="" ns3:_="">
    <xsd:import namespace="915cb496-f9f9-41bb-a56d-86ac15cda905"/>
    <xsd:import namespace="8f0a66a3-cabc-4909-b63f-42a8c95083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cb496-f9f9-41bb-a56d-86ac15cda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26791f-85d3-44e8-b31a-d42d511e26a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0a66a3-cabc-4909-b63f-42a8c95083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e48ec0a-0947-457d-9e51-98e8bf25323a}" ma:internalName="TaxCatchAll" ma:showField="CatchAllData" ma:web="8f0a66a3-cabc-4909-b63f-42a8c95083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Placeholder2</b:Tag>
    <b:SourceType>Book</b:SourceType>
    <b:Guid>{77A622C7-0E8A-47D1-ADD6-CF9970BBA239}</b:Guid>
    <b:Author>
      <b:Author>
        <b:Corporate>DHSC</b:Corporate>
      </b:Author>
    </b:Author>
    <b:Title>Care and Support Statutory Guidance (updated 1 June 2023)</b:Title>
    <b:Year>2023</b:Year>
    <b:City>London</b:City>
    <b:Publisher>TSO</b:Publisher>
    <b:RefOrder>1</b:RefOrder>
  </b:Source>
  <b:Source>
    <b:Tag>Fis09</b:Tag>
    <b:SourceType>Report</b:SourceType>
    <b:Guid>{347283B1-B184-4BF3-8465-251448C1BC51}</b:Guid>
    <b:Title>Learning together to safeguard children: developing a multi-agency system approach for case reviews</b:Title>
    <b:Year>2009</b:Year>
    <b:City>London</b:City>
    <b:Publisher>Social Care Institute for Excellence</b:Publisher>
    <b:Author>
      <b:Author>
        <b:NameList>
          <b:Person>
            <b:Last>Fish</b:Last>
            <b:First>Sheila</b:First>
          </b:Person>
          <b:Person>
            <b:Last>Munro</b:Last>
            <b:First>Eileen</b:First>
          </b:Person>
          <b:Person>
            <b:Last>Bairstow</b:Last>
            <b:First>Sue</b:First>
          </b:Person>
        </b:NameList>
      </b:Author>
    </b:Author>
    <b:RefOrder>13</b:RefOrder>
  </b:Source>
  <b:Source>
    <b:Tag>Pre18</b:Tag>
    <b:SourceType>JournalArticle</b:SourceType>
    <b:Guid>{BE830EDB-60D6-412D-931B-85F281E53D36}</b:Guid>
    <b:Title>Learning from safeguarding adult reviews on self-neglect: addressing the challenge of change</b:Title>
    <b:JournalName>Journal of Adult Protection</b:JournalName>
    <b:Year>2018</b:Year>
    <b:Pages>78-92</b:Pages>
    <b:Author>
      <b:Author>
        <b:NameList>
          <b:Person>
            <b:Last>Preston-Shoot</b:Last>
            <b:First>M</b:First>
          </b:Person>
        </b:NameList>
      </b:Author>
    </b:Author>
    <b:Volume>20</b:Volume>
    <b:Issue>2</b:Issue>
    <b:DOI>10.1108/JAP-01-2018-0001</b:DOI>
    <b:RefOrder>5</b:RefOrder>
  </b:Source>
  <b:Source>
    <b:Tag>Abu20</b:Tag>
    <b:SourceType>Report</b:SourceType>
    <b:Guid>{CFD5DC7C-6CC1-4532-BAEA-822E8D1D07B0}</b:Guid>
    <b:Title>Self-Neglect: Causes and Risk Factors</b:Title>
    <b:Year>2020</b:Year>
    <b:Author>
      <b:Author>
        <b:NameList>
          <b:Person>
            <b:Last>Abumaria</b:Last>
            <b:Middle>M</b:Middle>
            <b:First>I</b:First>
          </b:Person>
        </b:NameList>
      </b:Author>
    </b:Author>
    <b:RefOrder>3</b:RefOrder>
  </b:Source>
  <b:Source>
    <b:Tag>SCI18</b:Tag>
    <b:SourceType>Report</b:SourceType>
    <b:Guid>{3AE52CB3-EAE8-45B7-8AC9-95AA2F48CFBD}</b:Guid>
    <b:Author>
      <b:Author>
        <b:Corporate>SCIE</b:Corporate>
      </b:Author>
    </b:Author>
    <b:Title>Self-neglect at a glance</b:Title>
    <b:Year>2018</b:Year>
    <b:Publisher>Social Care institute for Excellence</b:Publisher>
    <b:City>London</b:City>
    <b:RefOrder>2</b:RefOrder>
  </b:Source>
  <b:Source>
    <b:Tag>Sal23</b:Tag>
    <b:SourceType>InternetSite</b:SourceType>
    <b:Guid>{C3DE4EAE-2339-4A7A-A832-F40B0A33412B}</b:Guid>
    <b:Title>Self-neglect</b:Title>
    <b:Year>2023</b:Year>
    <b:Author>
      <b:Author>
        <b:Corporate>SSAB</b:Corporate>
      </b:Author>
    </b:Author>
    <b:InternetSiteTitle>Salford Safeguarding Adults Board</b:InternetSiteTitle>
    <b:URL>https://safeguardingadults.salford.gov.uk/professionals/self-neglect/</b:URL>
    <b:RefOrder>4</b:RefOrder>
  </b:Source>
  <b:Source>
    <b:Tag>Alc19</b:Tag>
    <b:SourceType>Report</b:SourceType>
    <b:Guid>{D8C95269-1818-4426-AC00-C2205F1F8A01}</b:Guid>
    <b:Title>Learning from tragedies: an analysis of alcohol-related Safeguarding Adult Reviews in 2017</b:Title>
    <b:Year>2019</b:Year>
    <b:Author>
      <b:Author>
        <b:Corporate>Alcohol Change UK</b:Corporate>
      </b:Author>
    </b:Author>
    <b:Publisher>Alcohol Change UK</b:Publisher>
    <b:City>London</b:City>
    <b:RefOrder>7</b:RefOrder>
  </b:Source>
  <b:Source>
    <b:Tag>NHS99</b:Tag>
    <b:SourceType>Report</b:SourceType>
    <b:Guid>{7324270F-155F-40EE-A5F3-92F5DE79199B}</b:Guid>
    <b:Author>
      <b:Author>
        <b:Corporate>NHS</b:Corporate>
      </b:Author>
    </b:Author>
    <b:Title>National Service Framework for mental Health</b:Title>
    <b:Year>1999</b:Year>
    <b:Publisher>NHS</b:Publisher>
    <b:City>London</b:City>
    <b:RefOrder>14</b:RefOrder>
  </b:Source>
  <b:Source>
    <b:Tag>NHS21</b:Tag>
    <b:SourceType>Report</b:SourceType>
    <b:Guid>{79BC9CCC-2D7D-437D-9FCB-7390788A2381}</b:Guid>
    <b:Author>
      <b:Author>
        <b:Corporate>NHS Digital</b:Corporate>
      </b:Author>
    </b:Author>
    <b:Title>Safeguarding Adults, England 2022-23</b:Title>
    <b:Year>2023</b:Year>
    <b:Publisher>NHS Digital</b:Publisher>
    <b:RefOrder>6</b:RefOrder>
  </b:Source>
  <b:Source>
    <b:Tag>Hug13</b:Tag>
    <b:SourceType>JournalArticle</b:SourceType>
    <b:Guid>{05B21E62-8A3B-4940-9975-9922524C0DB8}</b:Guid>
    <b:Title>Salford alcohol assertive outreach team: a new model for reducing alcohol-related admissions</b:Title>
    <b:Year>2013</b:Year>
    <b:JournalName>Frontline Gastroenterol</b:JournalName>
    <b:Pages>130-134</b:Pages>
    <b:Author>
      <b:Author>
        <b:NameList>
          <b:Person>
            <b:Last>Hughes</b:Last>
            <b:Middle>R</b:Middle>
            <b:First>N</b:First>
          </b:Person>
          <b:Person>
            <b:Last>Houghton</b:Last>
            <b:First>N</b:First>
          </b:Person>
          <b:Person>
            <b:Last>Nadeem</b:Last>
            <b:First>H</b:First>
          </b:Person>
          <b:Person>
            <b:Last>Bell</b:Last>
            <b:First>J</b:First>
          </b:Person>
          <b:Person>
            <b:Last>McDonald</b:Last>
            <b:First>S</b:First>
          </b:Person>
          <b:Person>
            <b:Last>Glynn</b:Last>
            <b:First>N</b:First>
          </b:Person>
          <b:Person>
            <b:Last>Scarfe</b:Last>
            <b:First>C</b:First>
          </b:Person>
          <b:Person>
            <b:Last>Mackay</b:Last>
            <b:First>B</b:First>
          </b:Person>
          <b:Person>
            <b:Last>Rogers</b:Last>
            <b:First>A</b:First>
          </b:Person>
          <b:Person>
            <b:Last>Walters</b:Last>
            <b:First>M</b:First>
          </b:Person>
          <b:Person>
            <b:Last>Smith</b:Last>
            <b:First>M</b:First>
          </b:Person>
          <b:Person>
            <b:Last>McDonald</b:Last>
            <b:First>A</b:First>
          </b:Person>
          <b:Person>
            <b:Last>Dalton</b:Last>
            <b:First>D</b:First>
          </b:Person>
        </b:NameList>
      </b:Author>
    </b:Author>
    <b:Volume>4</b:Volume>
    <b:Issue>2</b:Issue>
    <b:DOI>10.1136/flgastro-2012-100260</b:DOI>
    <b:RefOrder>8</b:RefOrder>
  </b:Source>
  <b:Source>
    <b:Tag>Ken05</b:Tag>
    <b:SourceType>JournalArticle</b:SourceType>
    <b:Guid>{17AA3962-E559-4AC8-A10C-824C77033CD6}</b:Guid>
    <b:Title>Assertive community treatment in UK practice: Revisiting… Setting up an Assertive Community Treatment Team</b:Title>
    <b:JournalName>Advances in Psychiatric Treatment</b:JournalName>
    <b:Year>2005</b:Year>
    <b:Pages>388-397</b:Pages>
    <b:Author>
      <b:Author>
        <b:NameList>
          <b:Person>
            <b:Last>Kent</b:Last>
            <b:First>A</b:First>
          </b:Person>
          <b:Person>
            <b:Last>Burns</b:Last>
            <b:First>T</b:First>
          </b:Person>
        </b:NameList>
      </b:Author>
    </b:Author>
    <b:Volume>11</b:Volume>
    <b:Issue>6</b:Issue>
    <b:DOI>10.1192/apt.11.6.388</b:DOI>
    <b:RefOrder>15</b:RefOrder>
  </b:Source>
  <b:Source>
    <b:Tag>War23</b:Tag>
    <b:SourceType>Report</b:SourceType>
    <b:Guid>{D2A07BE9-846E-4DBD-B06E-7DF80D6741C6}</b:Guid>
    <b:Title>Alcohol Assertive Outreach: a handbook</b:Title>
    <b:Year>2023</b:Year>
    <b:Publisher>Alcohol Change UK</b:Publisher>
    <b:City>London</b:City>
    <b:Author>
      <b:Author>
        <b:Corporate>Alcohol Change UK: Ward, M &amp; Holmes, M.</b:Corporate>
      </b:Author>
    </b:Author>
    <b:RefOrder>9</b:RefOrder>
  </b:Source>
  <b:Source>
    <b:Tag>Pre20</b:Tag>
    <b:SourceType>Report</b:SourceType>
    <b:Guid>{B88111E7-5F3B-4954-8F72-01A8449DA92A}</b:Guid>
    <b:Title>Analysis of Safeguarding Adult Reviews April 2017 - March 2019; Findings for sector-led improvement</b:Title>
    <b:Year>2020</b:Year>
    <b:City>London</b:City>
    <b:Publisher>Local Government Association</b:Publisher>
    <b:Author>
      <b:Author>
        <b:NameList>
          <b:Person>
            <b:Last>Preston-Shoot</b:Last>
            <b:First>Michael</b:First>
          </b:Person>
          <b:Person>
            <b:Last>Braye</b:Last>
            <b:First>Suzy</b:First>
          </b:Person>
          <b:Person>
            <b:Last>Preston</b:Last>
            <b:First>Oli</b:First>
          </b:Person>
          <b:Person>
            <b:Last>Allen</b:Last>
            <b:First>Karen</b:First>
          </b:Person>
          <b:Person>
            <b:Last>Spreadbury</b:Last>
            <b:First>Kate</b:First>
          </b:Person>
        </b:NameList>
      </b:Author>
    </b:Author>
    <b:RefOrder>10</b:RefOrder>
  </b:Source>
  <b:Source>
    <b:Tag>HMG18</b:Tag>
    <b:SourceType>Report</b:SourceType>
    <b:Guid>{DCBB438C-273A-45DB-9E47-FDB565068CF7}</b:Guid>
    <b:Author>
      <b:Author>
        <b:Corporate>HM Government</b:Corporate>
      </b:Author>
    </b:Author>
    <b:Title>Information Sharing: Advice for practitioners providing safeguarding services to children, young people, parents, and carers</b:Title>
    <b:Year>2018</b:Year>
    <b:Publisher>HM Government</b:Publisher>
    <b:City>London</b:City>
    <b:RefOrder>11</b:RefOrder>
  </b:Source>
  <b:Source>
    <b:Tag>Lit23</b:Tag>
    <b:SourceType>InternetSite</b:SourceType>
    <b:Guid>{C5EAB40D-C22F-44F2-BF26-3C99E1E5B97A}</b:Guid>
    <b:Year>2023</b:Year>
    <b:Author>
      <b:Author>
        <b:Corporate>Literacy Trust</b:Corporate>
      </b:Author>
    </b:Author>
    <b:InternetSiteTitle>National Literacy Trust</b:InternetSiteTitle>
    <b:URL>https://literacytrust.org.uk/</b:URL>
    <b:RefOrder>12</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TaxCatchAll xmlns="8f0a66a3-cabc-4909-b63f-42a8c95083d3" xsi:nil="true"/>
    <lcf76f155ced4ddcb4097134ff3c332f xmlns="915cb496-f9f9-41bb-a56d-86ac15cda9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974725-0DED-4C97-BE10-982970AC6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cb496-f9f9-41bb-a56d-86ac15cda905"/>
    <ds:schemaRef ds:uri="8f0a66a3-cabc-4909-b63f-42a8c9508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696C5E-8E6D-48B5-9048-03E0E78176E6}">
  <ds:schemaRefs>
    <ds:schemaRef ds:uri="http://schemas.microsoft.com/sharepoint/v3/contenttype/forms"/>
  </ds:schemaRefs>
</ds:datastoreItem>
</file>

<file path=customXml/itemProps3.xml><?xml version="1.0" encoding="utf-8"?>
<ds:datastoreItem xmlns:ds="http://schemas.openxmlformats.org/officeDocument/2006/customXml" ds:itemID="{8329FFA3-BE96-4CB0-ACFD-B1FBC26B9EE5}">
  <ds:schemaRefs>
    <ds:schemaRef ds:uri="http://schemas.openxmlformats.org/officeDocument/2006/bibliography"/>
  </ds:schemaRefs>
</ds:datastoreItem>
</file>

<file path=customXml/itemProps4.xml><?xml version="1.0" encoding="utf-8"?>
<ds:datastoreItem xmlns:ds="http://schemas.openxmlformats.org/officeDocument/2006/customXml" ds:itemID="{175E68F7-5B51-472D-9C26-CE1C8C49DC60}">
  <ds:schemaRefs>
    <ds:schemaRef ds:uri="http://schemas.microsoft.com/office/2006/metadata/properties"/>
    <ds:schemaRef ds:uri="http://schemas.microsoft.com/office/infopath/2007/PartnerControls"/>
    <ds:schemaRef ds:uri="8f0a66a3-cabc-4909-b63f-42a8c95083d3"/>
    <ds:schemaRef ds:uri="915cb496-f9f9-41bb-a56d-86ac15cda9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9982</Words>
  <Characters>56900</Characters>
  <Application>Microsoft Office Word</Application>
  <DocSecurity>4</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66749</CharactersWithSpaces>
  <SharedDoc>false</SharedDoc>
  <HLinks>
    <vt:vector size="180" baseType="variant">
      <vt:variant>
        <vt:i4>1703991</vt:i4>
      </vt:variant>
      <vt:variant>
        <vt:i4>158</vt:i4>
      </vt:variant>
      <vt:variant>
        <vt:i4>0</vt:i4>
      </vt:variant>
      <vt:variant>
        <vt:i4>5</vt:i4>
      </vt:variant>
      <vt:variant>
        <vt:lpwstr/>
      </vt:variant>
      <vt:variant>
        <vt:lpwstr>_Toc165109333</vt:lpwstr>
      </vt:variant>
      <vt:variant>
        <vt:i4>1703991</vt:i4>
      </vt:variant>
      <vt:variant>
        <vt:i4>152</vt:i4>
      </vt:variant>
      <vt:variant>
        <vt:i4>0</vt:i4>
      </vt:variant>
      <vt:variant>
        <vt:i4>5</vt:i4>
      </vt:variant>
      <vt:variant>
        <vt:lpwstr/>
      </vt:variant>
      <vt:variant>
        <vt:lpwstr>_Toc165109332</vt:lpwstr>
      </vt:variant>
      <vt:variant>
        <vt:i4>1703991</vt:i4>
      </vt:variant>
      <vt:variant>
        <vt:i4>146</vt:i4>
      </vt:variant>
      <vt:variant>
        <vt:i4>0</vt:i4>
      </vt:variant>
      <vt:variant>
        <vt:i4>5</vt:i4>
      </vt:variant>
      <vt:variant>
        <vt:lpwstr/>
      </vt:variant>
      <vt:variant>
        <vt:lpwstr>_Toc165109331</vt:lpwstr>
      </vt:variant>
      <vt:variant>
        <vt:i4>1703991</vt:i4>
      </vt:variant>
      <vt:variant>
        <vt:i4>140</vt:i4>
      </vt:variant>
      <vt:variant>
        <vt:i4>0</vt:i4>
      </vt:variant>
      <vt:variant>
        <vt:i4>5</vt:i4>
      </vt:variant>
      <vt:variant>
        <vt:lpwstr/>
      </vt:variant>
      <vt:variant>
        <vt:lpwstr>_Toc165109330</vt:lpwstr>
      </vt:variant>
      <vt:variant>
        <vt:i4>1769527</vt:i4>
      </vt:variant>
      <vt:variant>
        <vt:i4>134</vt:i4>
      </vt:variant>
      <vt:variant>
        <vt:i4>0</vt:i4>
      </vt:variant>
      <vt:variant>
        <vt:i4>5</vt:i4>
      </vt:variant>
      <vt:variant>
        <vt:lpwstr/>
      </vt:variant>
      <vt:variant>
        <vt:lpwstr>_Toc165109329</vt:lpwstr>
      </vt:variant>
      <vt:variant>
        <vt:i4>1769527</vt:i4>
      </vt:variant>
      <vt:variant>
        <vt:i4>128</vt:i4>
      </vt:variant>
      <vt:variant>
        <vt:i4>0</vt:i4>
      </vt:variant>
      <vt:variant>
        <vt:i4>5</vt:i4>
      </vt:variant>
      <vt:variant>
        <vt:lpwstr/>
      </vt:variant>
      <vt:variant>
        <vt:lpwstr>_Toc165109328</vt:lpwstr>
      </vt:variant>
      <vt:variant>
        <vt:i4>1769527</vt:i4>
      </vt:variant>
      <vt:variant>
        <vt:i4>122</vt:i4>
      </vt:variant>
      <vt:variant>
        <vt:i4>0</vt:i4>
      </vt:variant>
      <vt:variant>
        <vt:i4>5</vt:i4>
      </vt:variant>
      <vt:variant>
        <vt:lpwstr/>
      </vt:variant>
      <vt:variant>
        <vt:lpwstr>_Toc165109327</vt:lpwstr>
      </vt:variant>
      <vt:variant>
        <vt:i4>1769527</vt:i4>
      </vt:variant>
      <vt:variant>
        <vt:i4>116</vt:i4>
      </vt:variant>
      <vt:variant>
        <vt:i4>0</vt:i4>
      </vt:variant>
      <vt:variant>
        <vt:i4>5</vt:i4>
      </vt:variant>
      <vt:variant>
        <vt:lpwstr/>
      </vt:variant>
      <vt:variant>
        <vt:lpwstr>_Toc165109326</vt:lpwstr>
      </vt:variant>
      <vt:variant>
        <vt:i4>1769527</vt:i4>
      </vt:variant>
      <vt:variant>
        <vt:i4>110</vt:i4>
      </vt:variant>
      <vt:variant>
        <vt:i4>0</vt:i4>
      </vt:variant>
      <vt:variant>
        <vt:i4>5</vt:i4>
      </vt:variant>
      <vt:variant>
        <vt:lpwstr/>
      </vt:variant>
      <vt:variant>
        <vt:lpwstr>_Toc165109325</vt:lpwstr>
      </vt:variant>
      <vt:variant>
        <vt:i4>1769527</vt:i4>
      </vt:variant>
      <vt:variant>
        <vt:i4>104</vt:i4>
      </vt:variant>
      <vt:variant>
        <vt:i4>0</vt:i4>
      </vt:variant>
      <vt:variant>
        <vt:i4>5</vt:i4>
      </vt:variant>
      <vt:variant>
        <vt:lpwstr/>
      </vt:variant>
      <vt:variant>
        <vt:lpwstr>_Toc165109324</vt:lpwstr>
      </vt:variant>
      <vt:variant>
        <vt:i4>1769527</vt:i4>
      </vt:variant>
      <vt:variant>
        <vt:i4>98</vt:i4>
      </vt:variant>
      <vt:variant>
        <vt:i4>0</vt:i4>
      </vt:variant>
      <vt:variant>
        <vt:i4>5</vt:i4>
      </vt:variant>
      <vt:variant>
        <vt:lpwstr/>
      </vt:variant>
      <vt:variant>
        <vt:lpwstr>_Toc165109323</vt:lpwstr>
      </vt:variant>
      <vt:variant>
        <vt:i4>1769527</vt:i4>
      </vt:variant>
      <vt:variant>
        <vt:i4>92</vt:i4>
      </vt:variant>
      <vt:variant>
        <vt:i4>0</vt:i4>
      </vt:variant>
      <vt:variant>
        <vt:i4>5</vt:i4>
      </vt:variant>
      <vt:variant>
        <vt:lpwstr/>
      </vt:variant>
      <vt:variant>
        <vt:lpwstr>_Toc165109322</vt:lpwstr>
      </vt:variant>
      <vt:variant>
        <vt:i4>1769527</vt:i4>
      </vt:variant>
      <vt:variant>
        <vt:i4>86</vt:i4>
      </vt:variant>
      <vt:variant>
        <vt:i4>0</vt:i4>
      </vt:variant>
      <vt:variant>
        <vt:i4>5</vt:i4>
      </vt:variant>
      <vt:variant>
        <vt:lpwstr/>
      </vt:variant>
      <vt:variant>
        <vt:lpwstr>_Toc165109321</vt:lpwstr>
      </vt:variant>
      <vt:variant>
        <vt:i4>1769527</vt:i4>
      </vt:variant>
      <vt:variant>
        <vt:i4>80</vt:i4>
      </vt:variant>
      <vt:variant>
        <vt:i4>0</vt:i4>
      </vt:variant>
      <vt:variant>
        <vt:i4>5</vt:i4>
      </vt:variant>
      <vt:variant>
        <vt:lpwstr/>
      </vt:variant>
      <vt:variant>
        <vt:lpwstr>_Toc165109320</vt:lpwstr>
      </vt:variant>
      <vt:variant>
        <vt:i4>1572919</vt:i4>
      </vt:variant>
      <vt:variant>
        <vt:i4>74</vt:i4>
      </vt:variant>
      <vt:variant>
        <vt:i4>0</vt:i4>
      </vt:variant>
      <vt:variant>
        <vt:i4>5</vt:i4>
      </vt:variant>
      <vt:variant>
        <vt:lpwstr/>
      </vt:variant>
      <vt:variant>
        <vt:lpwstr>_Toc165109319</vt:lpwstr>
      </vt:variant>
      <vt:variant>
        <vt:i4>1572919</vt:i4>
      </vt:variant>
      <vt:variant>
        <vt:i4>68</vt:i4>
      </vt:variant>
      <vt:variant>
        <vt:i4>0</vt:i4>
      </vt:variant>
      <vt:variant>
        <vt:i4>5</vt:i4>
      </vt:variant>
      <vt:variant>
        <vt:lpwstr/>
      </vt:variant>
      <vt:variant>
        <vt:lpwstr>_Toc165109318</vt:lpwstr>
      </vt:variant>
      <vt:variant>
        <vt:i4>1572919</vt:i4>
      </vt:variant>
      <vt:variant>
        <vt:i4>62</vt:i4>
      </vt:variant>
      <vt:variant>
        <vt:i4>0</vt:i4>
      </vt:variant>
      <vt:variant>
        <vt:i4>5</vt:i4>
      </vt:variant>
      <vt:variant>
        <vt:lpwstr/>
      </vt:variant>
      <vt:variant>
        <vt:lpwstr>_Toc165109317</vt:lpwstr>
      </vt:variant>
      <vt:variant>
        <vt:i4>1572919</vt:i4>
      </vt:variant>
      <vt:variant>
        <vt:i4>56</vt:i4>
      </vt:variant>
      <vt:variant>
        <vt:i4>0</vt:i4>
      </vt:variant>
      <vt:variant>
        <vt:i4>5</vt:i4>
      </vt:variant>
      <vt:variant>
        <vt:lpwstr/>
      </vt:variant>
      <vt:variant>
        <vt:lpwstr>_Toc165109316</vt:lpwstr>
      </vt:variant>
      <vt:variant>
        <vt:i4>1572919</vt:i4>
      </vt:variant>
      <vt:variant>
        <vt:i4>50</vt:i4>
      </vt:variant>
      <vt:variant>
        <vt:i4>0</vt:i4>
      </vt:variant>
      <vt:variant>
        <vt:i4>5</vt:i4>
      </vt:variant>
      <vt:variant>
        <vt:lpwstr/>
      </vt:variant>
      <vt:variant>
        <vt:lpwstr>_Toc165109315</vt:lpwstr>
      </vt:variant>
      <vt:variant>
        <vt:i4>1572919</vt:i4>
      </vt:variant>
      <vt:variant>
        <vt:i4>44</vt:i4>
      </vt:variant>
      <vt:variant>
        <vt:i4>0</vt:i4>
      </vt:variant>
      <vt:variant>
        <vt:i4>5</vt:i4>
      </vt:variant>
      <vt:variant>
        <vt:lpwstr/>
      </vt:variant>
      <vt:variant>
        <vt:lpwstr>_Toc165109314</vt:lpwstr>
      </vt:variant>
      <vt:variant>
        <vt:i4>1572919</vt:i4>
      </vt:variant>
      <vt:variant>
        <vt:i4>38</vt:i4>
      </vt:variant>
      <vt:variant>
        <vt:i4>0</vt:i4>
      </vt:variant>
      <vt:variant>
        <vt:i4>5</vt:i4>
      </vt:variant>
      <vt:variant>
        <vt:lpwstr/>
      </vt:variant>
      <vt:variant>
        <vt:lpwstr>_Toc165109313</vt:lpwstr>
      </vt:variant>
      <vt:variant>
        <vt:i4>1572919</vt:i4>
      </vt:variant>
      <vt:variant>
        <vt:i4>32</vt:i4>
      </vt:variant>
      <vt:variant>
        <vt:i4>0</vt:i4>
      </vt:variant>
      <vt:variant>
        <vt:i4>5</vt:i4>
      </vt:variant>
      <vt:variant>
        <vt:lpwstr/>
      </vt:variant>
      <vt:variant>
        <vt:lpwstr>_Toc165109312</vt:lpwstr>
      </vt:variant>
      <vt:variant>
        <vt:i4>1572919</vt:i4>
      </vt:variant>
      <vt:variant>
        <vt:i4>26</vt:i4>
      </vt:variant>
      <vt:variant>
        <vt:i4>0</vt:i4>
      </vt:variant>
      <vt:variant>
        <vt:i4>5</vt:i4>
      </vt:variant>
      <vt:variant>
        <vt:lpwstr/>
      </vt:variant>
      <vt:variant>
        <vt:lpwstr>_Toc165109311</vt:lpwstr>
      </vt:variant>
      <vt:variant>
        <vt:i4>1572919</vt:i4>
      </vt:variant>
      <vt:variant>
        <vt:i4>20</vt:i4>
      </vt:variant>
      <vt:variant>
        <vt:i4>0</vt:i4>
      </vt:variant>
      <vt:variant>
        <vt:i4>5</vt:i4>
      </vt:variant>
      <vt:variant>
        <vt:lpwstr/>
      </vt:variant>
      <vt:variant>
        <vt:lpwstr>_Toc165109310</vt:lpwstr>
      </vt:variant>
      <vt:variant>
        <vt:i4>1638455</vt:i4>
      </vt:variant>
      <vt:variant>
        <vt:i4>14</vt:i4>
      </vt:variant>
      <vt:variant>
        <vt:i4>0</vt:i4>
      </vt:variant>
      <vt:variant>
        <vt:i4>5</vt:i4>
      </vt:variant>
      <vt:variant>
        <vt:lpwstr/>
      </vt:variant>
      <vt:variant>
        <vt:lpwstr>_Toc165109309</vt:lpwstr>
      </vt:variant>
      <vt:variant>
        <vt:i4>1638455</vt:i4>
      </vt:variant>
      <vt:variant>
        <vt:i4>8</vt:i4>
      </vt:variant>
      <vt:variant>
        <vt:i4>0</vt:i4>
      </vt:variant>
      <vt:variant>
        <vt:i4>5</vt:i4>
      </vt:variant>
      <vt:variant>
        <vt:lpwstr/>
      </vt:variant>
      <vt:variant>
        <vt:lpwstr>_Toc165109308</vt:lpwstr>
      </vt:variant>
      <vt:variant>
        <vt:i4>1638455</vt:i4>
      </vt:variant>
      <vt:variant>
        <vt:i4>2</vt:i4>
      </vt:variant>
      <vt:variant>
        <vt:i4>0</vt:i4>
      </vt:variant>
      <vt:variant>
        <vt:i4>5</vt:i4>
      </vt:variant>
      <vt:variant>
        <vt:lpwstr/>
      </vt:variant>
      <vt:variant>
        <vt:lpwstr>_Toc165109307</vt:lpwstr>
      </vt:variant>
      <vt:variant>
        <vt:i4>393236</vt:i4>
      </vt:variant>
      <vt:variant>
        <vt:i4>6</vt:i4>
      </vt:variant>
      <vt:variant>
        <vt:i4>0</vt:i4>
      </vt:variant>
      <vt:variant>
        <vt:i4>5</vt:i4>
      </vt:variant>
      <vt:variant>
        <vt:lpwstr>https://safeguardingadults.salford.gov.uk/professionals/information-sharing-and-confidentiality/</vt:lpwstr>
      </vt:variant>
      <vt:variant>
        <vt:lpwstr/>
      </vt:variant>
      <vt:variant>
        <vt:i4>74</vt:i4>
      </vt:variant>
      <vt:variant>
        <vt:i4>3</vt:i4>
      </vt:variant>
      <vt:variant>
        <vt:i4>0</vt:i4>
      </vt:variant>
      <vt:variant>
        <vt:i4>5</vt:i4>
      </vt:variant>
      <vt:variant>
        <vt:lpwstr>https://safeguardingadults.salford.gov.uk/professionals/self-neglect/</vt:lpwstr>
      </vt:variant>
      <vt:variant>
        <vt:lpwstr/>
      </vt:variant>
      <vt:variant>
        <vt:i4>74</vt:i4>
      </vt:variant>
      <vt:variant>
        <vt:i4>0</vt:i4>
      </vt:variant>
      <vt:variant>
        <vt:i4>0</vt:i4>
      </vt:variant>
      <vt:variant>
        <vt:i4>5</vt:i4>
      </vt:variant>
      <vt:variant>
        <vt:lpwstr>https://safeguardingadults.salford.gov.uk/professionals/self-neglect/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Eliot Sullivan-Smith</dc:creator>
  <cp:keywords/>
  <dc:description/>
  <cp:lastModifiedBy>Bowmer, Jane</cp:lastModifiedBy>
  <cp:revision>25</cp:revision>
  <dcterms:created xsi:type="dcterms:W3CDTF">2024-04-16T18:38:00Z</dcterms:created>
  <dcterms:modified xsi:type="dcterms:W3CDTF">2024-06-10T20:25:00Z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0x0101006E07AD628ADB7D40A029DAE545C60438</vt:lpwstr>
  </property>
  <property fmtid="{D5CDD505-2E9C-101B-9397-08002B2CF9AE}" pid="3" name="MediaServiceImageTags">
    <vt:lpwstr/>
  </property>
</Properties>
</file>