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7FB9" w14:textId="01C77363" w:rsidR="00B152C7" w:rsidRPr="00E65561" w:rsidRDefault="00B152C7" w:rsidP="00B152C7">
      <w:pPr>
        <w:jc w:val="center"/>
        <w:rPr>
          <w:b/>
          <w:bCs/>
          <w:color w:val="7030A0"/>
          <w:sz w:val="72"/>
          <w:szCs w:val="72"/>
        </w:rPr>
      </w:pPr>
      <w:r w:rsidRPr="00E65561">
        <w:rPr>
          <w:b/>
          <w:bCs/>
          <w:color w:val="7030A0"/>
          <w:sz w:val="24"/>
          <w:szCs w:val="24"/>
        </w:rPr>
        <w:t>Equality and Diversity in</w:t>
      </w:r>
      <w:r w:rsidRPr="00E65561">
        <w:rPr>
          <w:b/>
          <w:bCs/>
          <w:color w:val="7030A0"/>
          <w:sz w:val="24"/>
          <w:szCs w:val="24"/>
        </w:rPr>
        <w:br/>
        <w:t>Salford Safeguarding</w:t>
      </w:r>
      <w:r w:rsidR="007512C0" w:rsidRPr="007512C0">
        <w:rPr>
          <w:noProof/>
          <w:color w:val="222A35" w:themeColor="text2" w:themeShade="80"/>
          <w:lang w:eastAsia="en-GB"/>
        </w:rPr>
        <w:t xml:space="preserve"> </w:t>
      </w:r>
    </w:p>
    <w:p w14:paraId="51F5CA47" w14:textId="77777777" w:rsidR="00B152C7" w:rsidRPr="00E65561" w:rsidRDefault="00B152C7" w:rsidP="005B3995">
      <w:pPr>
        <w:spacing w:after="10"/>
        <w:jc w:val="center"/>
        <w:rPr>
          <w:b/>
          <w:sz w:val="24"/>
        </w:rPr>
      </w:pPr>
      <w:r w:rsidRPr="00E65561">
        <w:rPr>
          <w:b/>
          <w:sz w:val="28"/>
          <w:szCs w:val="20"/>
        </w:rPr>
        <w:t>Multi-Agency Audit</w:t>
      </w:r>
      <w:r w:rsidRPr="00E65561">
        <w:rPr>
          <w:b/>
          <w:sz w:val="32"/>
        </w:rPr>
        <w:br/>
      </w:r>
      <w:r w:rsidRPr="00E65561">
        <w:rPr>
          <w:b/>
          <w:sz w:val="24"/>
        </w:rPr>
        <w:t>March 2025</w:t>
      </w:r>
    </w:p>
    <w:p w14:paraId="7AF8D038" w14:textId="023F8F71" w:rsidR="0082267B" w:rsidRPr="00E65561" w:rsidRDefault="0082267B"/>
    <w:p w14:paraId="4C220E5C" w14:textId="77777777" w:rsidR="005A0A05" w:rsidRPr="005A0A05" w:rsidRDefault="005A0A05" w:rsidP="005A0A05">
      <w:pPr>
        <w:pStyle w:val="ListParagraph"/>
        <w:numPr>
          <w:ilvl w:val="0"/>
          <w:numId w:val="10"/>
        </w:numPr>
        <w:rPr>
          <w:b/>
          <w:sz w:val="32"/>
        </w:rPr>
      </w:pPr>
      <w:r w:rsidRPr="005A0A05">
        <w:rPr>
          <w:b/>
          <w:sz w:val="32"/>
        </w:rPr>
        <w:t>Introduction</w:t>
      </w:r>
    </w:p>
    <w:p w14:paraId="518DCD31" w14:textId="77777777" w:rsidR="005A0A05" w:rsidRPr="005A0A05" w:rsidRDefault="005A0A05" w:rsidP="005A0A05">
      <w:pPr>
        <w:ind w:left="284"/>
        <w:rPr>
          <w:sz w:val="19"/>
          <w:szCs w:val="19"/>
        </w:rPr>
      </w:pPr>
      <w:r w:rsidRPr="005A0A05">
        <w:rPr>
          <w:sz w:val="19"/>
          <w:szCs w:val="19"/>
        </w:rPr>
        <w:t xml:space="preserve">This Multi-Agency Assurance was conducted by the Safeguarding Effectiveness Group (‘SEG’) subgroup of the Salford Safeguarding Adults Board (‘SSAB’). </w:t>
      </w:r>
    </w:p>
    <w:p w14:paraId="4805AE9C" w14:textId="77ACFC78" w:rsidR="005A0A05" w:rsidRPr="005A0A05" w:rsidRDefault="005A0A05" w:rsidP="005A0A05">
      <w:pPr>
        <w:ind w:left="284"/>
        <w:rPr>
          <w:rFonts w:cstheme="minorHAnsi"/>
          <w:sz w:val="19"/>
          <w:szCs w:val="19"/>
        </w:rPr>
      </w:pPr>
      <w:r w:rsidRPr="005A0A05">
        <w:rPr>
          <w:rFonts w:cstheme="minorHAnsi"/>
          <w:sz w:val="19"/>
          <w:szCs w:val="19"/>
        </w:rPr>
        <w:t>The SSAB collaborated with partners across Salford to better understand how Equality, Diversity and Inclusion (EDI) is embedded in safeguarding practices across Salford.</w:t>
      </w:r>
    </w:p>
    <w:p w14:paraId="7DBD4734" w14:textId="77777777" w:rsidR="005A0A05" w:rsidRDefault="005A0A05" w:rsidP="005A0A05">
      <w:pPr>
        <w:ind w:left="284"/>
        <w:rPr>
          <w:rFonts w:cstheme="minorHAnsi"/>
          <w:sz w:val="19"/>
          <w:szCs w:val="19"/>
        </w:rPr>
      </w:pPr>
      <w:r w:rsidRPr="005A0A05">
        <w:rPr>
          <w:rFonts w:cstheme="minorHAnsi"/>
          <w:sz w:val="19"/>
          <w:szCs w:val="19"/>
        </w:rPr>
        <w:t>The assurance process involved a structured questionnaire distributed to partner agencies, focusing on how EDI considerations are identified, documented and acted upon when safeguarding adults at risk of abuse / neglect. The findings inform both good practice and areas for improvement.</w:t>
      </w:r>
    </w:p>
    <w:p w14:paraId="7452904C" w14:textId="77777777" w:rsidR="005A0A05" w:rsidRDefault="005A0A05" w:rsidP="005A0A05">
      <w:pPr>
        <w:ind w:left="284"/>
        <w:rPr>
          <w:rFonts w:cstheme="minorHAnsi"/>
          <w:sz w:val="19"/>
          <w:szCs w:val="19"/>
        </w:rPr>
      </w:pPr>
    </w:p>
    <w:p w14:paraId="1507AC91" w14:textId="77777777" w:rsidR="005A0A05" w:rsidRPr="008C7E37" w:rsidRDefault="005A0A05" w:rsidP="008C7E37">
      <w:pPr>
        <w:pStyle w:val="ListParagraph"/>
        <w:numPr>
          <w:ilvl w:val="0"/>
          <w:numId w:val="10"/>
        </w:numPr>
        <w:rPr>
          <w:b/>
          <w:sz w:val="32"/>
        </w:rPr>
      </w:pPr>
      <w:r w:rsidRPr="008C7E37">
        <w:rPr>
          <w:b/>
          <w:sz w:val="32"/>
        </w:rPr>
        <w:t>What is ‘EDI’?</w:t>
      </w:r>
    </w:p>
    <w:p w14:paraId="6273F16B" w14:textId="77777777" w:rsidR="005A0A05" w:rsidRPr="00E65561" w:rsidRDefault="005A0A05" w:rsidP="005A0A05">
      <w:pPr>
        <w:ind w:left="284"/>
        <w:rPr>
          <w:rFonts w:cstheme="minorHAnsi"/>
        </w:rPr>
      </w:pPr>
      <w:r w:rsidRPr="00E65561">
        <w:rPr>
          <w:rFonts w:cstheme="minorHAnsi"/>
        </w:rPr>
        <w:t>Equality, Diversity and Inclusion (EDI) refers to the fair treatment and full participation of all people, particularly those from groups that have historically been underrepresented or subject to discrimination. In safeguarding, EDI ensures that adults’ protected characteristics are recognised and respected.</w:t>
      </w:r>
    </w:p>
    <w:p w14:paraId="15017F4C" w14:textId="77777777" w:rsidR="005A0A05" w:rsidRPr="00E65561" w:rsidRDefault="005A0A05" w:rsidP="005A0A05">
      <w:pPr>
        <w:ind w:left="284"/>
        <w:rPr>
          <w:rFonts w:cstheme="minorHAnsi"/>
          <w:sz w:val="18"/>
          <w:szCs w:val="18"/>
        </w:rPr>
      </w:pPr>
      <w:r w:rsidRPr="00E65561">
        <w:rPr>
          <w:rFonts w:cstheme="minorHAnsi"/>
        </w:rPr>
        <w:t xml:space="preserve">EDI </w:t>
      </w:r>
      <w:r>
        <w:rPr>
          <w:rFonts w:cstheme="minorHAnsi"/>
        </w:rPr>
        <w:t xml:space="preserve">consideration </w:t>
      </w:r>
      <w:r w:rsidRPr="00E65561">
        <w:rPr>
          <w:rFonts w:cstheme="minorHAnsi"/>
        </w:rPr>
        <w:t xml:space="preserve">in </w:t>
      </w:r>
      <w:r>
        <w:rPr>
          <w:rFonts w:cstheme="minorHAnsi"/>
        </w:rPr>
        <w:t xml:space="preserve">Salford </w:t>
      </w:r>
      <w:r w:rsidRPr="00E65561">
        <w:rPr>
          <w:rFonts w:cstheme="minorHAnsi"/>
        </w:rPr>
        <w:t>safeguarding includes capturing data on protected characteristics, understanding intersectionality and ensuring that services are inclusive, accessible, and responsive to the diverse needs of Salford’s adult population</w:t>
      </w:r>
      <w:r w:rsidRPr="00E65561">
        <w:rPr>
          <w:rFonts w:cstheme="minorHAnsi"/>
          <w:sz w:val="18"/>
          <w:szCs w:val="18"/>
        </w:rPr>
        <w:t>.</w:t>
      </w:r>
    </w:p>
    <w:p w14:paraId="757D4FE3" w14:textId="77777777" w:rsidR="005A0A05" w:rsidRPr="00E65561" w:rsidRDefault="005A0A05" w:rsidP="005A0A05">
      <w:pPr>
        <w:rPr>
          <w:rFonts w:cstheme="minorHAnsi"/>
          <w:sz w:val="18"/>
          <w:szCs w:val="18"/>
        </w:rPr>
      </w:pPr>
    </w:p>
    <w:p w14:paraId="5B6E887D" w14:textId="77777777" w:rsidR="008C7E37" w:rsidRPr="008C7E37" w:rsidRDefault="008C7E37" w:rsidP="008C7E37">
      <w:pPr>
        <w:pStyle w:val="ListParagraph"/>
        <w:numPr>
          <w:ilvl w:val="0"/>
          <w:numId w:val="10"/>
        </w:numPr>
        <w:rPr>
          <w:b/>
          <w:sz w:val="32"/>
        </w:rPr>
      </w:pPr>
      <w:r w:rsidRPr="008C7E37">
        <w:rPr>
          <w:b/>
          <w:sz w:val="32"/>
        </w:rPr>
        <w:t>Participation</w:t>
      </w:r>
    </w:p>
    <w:p w14:paraId="3A770438" w14:textId="77777777" w:rsidR="008C7E37" w:rsidRPr="004D398A" w:rsidRDefault="008C7E37" w:rsidP="008C7E37">
      <w:pPr>
        <w:ind w:left="284"/>
        <w:rPr>
          <w:lang w:val="en-US"/>
        </w:rPr>
      </w:pPr>
      <w:r w:rsidRPr="004D398A">
        <w:rPr>
          <w:lang w:val="en-US"/>
        </w:rPr>
        <w:t>19 agencies participated in the assurance process, including statutory</w:t>
      </w:r>
      <w:r w:rsidRPr="00C13987">
        <w:rPr>
          <w:lang w:val="en-US"/>
        </w:rPr>
        <w:t xml:space="preserve"> and </w:t>
      </w:r>
      <w:r w:rsidRPr="004D398A">
        <w:rPr>
          <w:lang w:val="en-US"/>
        </w:rPr>
        <w:t>voluntary</w:t>
      </w:r>
      <w:r w:rsidRPr="00C13987">
        <w:rPr>
          <w:lang w:val="en-US"/>
        </w:rPr>
        <w:t xml:space="preserve"> Board members</w:t>
      </w:r>
      <w:r w:rsidRPr="004D398A">
        <w:rPr>
          <w:lang w:val="en-US"/>
        </w:rPr>
        <w:t xml:space="preserve"> and housing organisations</w:t>
      </w:r>
      <w:r w:rsidRPr="00C13987">
        <w:rPr>
          <w:lang w:val="en-US"/>
        </w:rPr>
        <w:t xml:space="preserve">. </w:t>
      </w:r>
      <w:r w:rsidRPr="004D398A">
        <w:rPr>
          <w:lang w:val="en-US"/>
        </w:rPr>
        <w:t>Each agency completed a detailed survey on their EDI practices.</w:t>
      </w:r>
    </w:p>
    <w:p w14:paraId="02E9BCE7" w14:textId="77777777" w:rsidR="008C7E37" w:rsidRDefault="008C7E37" w:rsidP="008C7E37">
      <w:pPr>
        <w:ind w:left="284"/>
        <w:rPr>
          <w:lang w:val="en-US"/>
        </w:rPr>
      </w:pPr>
      <w:r w:rsidRPr="004D398A">
        <w:rPr>
          <w:lang w:val="en-US"/>
        </w:rPr>
        <w:t>The breadth of participation reflects a strong multi-agency commitment to improving safeguarding outcomes through inclusive practice.</w:t>
      </w:r>
    </w:p>
    <w:p w14:paraId="787E6DC7" w14:textId="77777777" w:rsidR="00997A25" w:rsidRDefault="00997A25" w:rsidP="008C7E37">
      <w:pPr>
        <w:ind w:left="284"/>
        <w:rPr>
          <w:lang w:val="en-US"/>
        </w:rPr>
      </w:pPr>
    </w:p>
    <w:p w14:paraId="614EBA6D" w14:textId="77777777" w:rsidR="00997A25" w:rsidRPr="00997A25" w:rsidRDefault="00997A25" w:rsidP="00997A25">
      <w:pPr>
        <w:pStyle w:val="ListParagraph"/>
        <w:numPr>
          <w:ilvl w:val="0"/>
          <w:numId w:val="10"/>
        </w:numPr>
        <w:rPr>
          <w:b/>
          <w:sz w:val="32"/>
        </w:rPr>
      </w:pPr>
      <w:r w:rsidRPr="00997A25">
        <w:rPr>
          <w:b/>
          <w:sz w:val="32"/>
        </w:rPr>
        <w:t>Key Findings</w:t>
      </w:r>
    </w:p>
    <w:p w14:paraId="2452C9C1" w14:textId="77777777" w:rsidR="00997A25" w:rsidRPr="00997A25" w:rsidRDefault="00997A25" w:rsidP="00997A25">
      <w:pPr>
        <w:ind w:left="284"/>
        <w:rPr>
          <w:lang w:val="en-US"/>
        </w:rPr>
      </w:pPr>
      <w:r w:rsidRPr="00997A25">
        <w:rPr>
          <w:lang w:val="en-US"/>
        </w:rPr>
        <w:t>All agencies confirmed having an Equality and Diversity Policy, and most routinely capture data on age, disability, sex, and religion. However, fewer agencies consistently record data on preferred pronouns, care leaver status, or asylum /refugee status.</w:t>
      </w:r>
    </w:p>
    <w:p w14:paraId="1712C902" w14:textId="77777777" w:rsidR="00997A25" w:rsidRDefault="00997A25" w:rsidP="00997A25">
      <w:pPr>
        <w:ind w:left="284"/>
        <w:rPr>
          <w:lang w:val="en-US"/>
        </w:rPr>
      </w:pPr>
      <w:r w:rsidRPr="00997A25">
        <w:rPr>
          <w:lang w:val="en-US"/>
        </w:rPr>
        <w:t>The average confidence score for capturing protected characteristic data was 7.89/10, and 8.25/10 for addressing discrimination concerns. 74% of agencies routinely complete Equality Impact Assessments, and 14 agencies include unconscious bias training.</w:t>
      </w:r>
    </w:p>
    <w:p w14:paraId="2DE7D436" w14:textId="77777777" w:rsidR="00D25DAC" w:rsidRDefault="00D25DAC" w:rsidP="00997A25">
      <w:pPr>
        <w:ind w:left="284"/>
        <w:rPr>
          <w:lang w:val="en-US"/>
        </w:rPr>
      </w:pPr>
    </w:p>
    <w:p w14:paraId="073A6582" w14:textId="77777777" w:rsidR="00D25DAC" w:rsidRPr="00D25DAC" w:rsidRDefault="00D25DAC" w:rsidP="00D25DAC">
      <w:pPr>
        <w:pStyle w:val="ListParagraph"/>
        <w:numPr>
          <w:ilvl w:val="0"/>
          <w:numId w:val="10"/>
        </w:numPr>
        <w:rPr>
          <w:b/>
          <w:sz w:val="32"/>
        </w:rPr>
      </w:pPr>
      <w:r w:rsidRPr="00D25DAC">
        <w:rPr>
          <w:b/>
          <w:sz w:val="32"/>
        </w:rPr>
        <w:t>Good Practice</w:t>
      </w:r>
    </w:p>
    <w:p w14:paraId="6654F175" w14:textId="77777777" w:rsidR="00D25DAC" w:rsidRPr="0031769E" w:rsidRDefault="00D25DAC" w:rsidP="00D25DAC">
      <w:pPr>
        <w:ind w:left="284"/>
        <w:rPr>
          <w:lang w:val="en-US"/>
        </w:rPr>
      </w:pPr>
      <w:r w:rsidRPr="0031769E">
        <w:rPr>
          <w:lang w:val="en-US"/>
        </w:rPr>
        <w:t>Examples of good practice include inclusive workplace policies, use of accessible communication methods, and training on cultural harms and unconscious bias. Agencies also reported using trauma-informed approaches and Making Safeguarding Personal principles.</w:t>
      </w:r>
    </w:p>
    <w:p w14:paraId="63C00F69" w14:textId="77777777" w:rsidR="00D25DAC" w:rsidRDefault="00D25DAC" w:rsidP="00D25DAC">
      <w:pPr>
        <w:ind w:left="284"/>
        <w:rPr>
          <w:lang w:val="en-US"/>
        </w:rPr>
      </w:pPr>
      <w:r w:rsidRPr="0031769E">
        <w:rPr>
          <w:lang w:val="en-US"/>
        </w:rPr>
        <w:lastRenderedPageBreak/>
        <w:t>Some agencies have strong community engagement strategies, including focus groups, co-production, and feedback mechanisms. Others have internal EDI champions and peer mentors to promote inclusive practice and awareness.</w:t>
      </w:r>
    </w:p>
    <w:p w14:paraId="4787854D" w14:textId="77777777" w:rsidR="0031769E" w:rsidRDefault="0031769E" w:rsidP="00D25DAC">
      <w:pPr>
        <w:ind w:left="284"/>
        <w:rPr>
          <w:lang w:val="en-US"/>
        </w:rPr>
      </w:pPr>
    </w:p>
    <w:p w14:paraId="666AEF68" w14:textId="77777777" w:rsidR="000D6583" w:rsidRPr="000D6583" w:rsidRDefault="000D6583" w:rsidP="000D6583">
      <w:pPr>
        <w:pStyle w:val="ListParagraph"/>
        <w:numPr>
          <w:ilvl w:val="0"/>
          <w:numId w:val="10"/>
        </w:numPr>
        <w:rPr>
          <w:b/>
          <w:sz w:val="32"/>
        </w:rPr>
      </w:pPr>
      <w:r w:rsidRPr="000D6583">
        <w:rPr>
          <w:b/>
          <w:sz w:val="32"/>
        </w:rPr>
        <w:t>Considerations</w:t>
      </w:r>
    </w:p>
    <w:p w14:paraId="2F6F4B9D" w14:textId="77777777" w:rsidR="000D6583" w:rsidRPr="00942C42" w:rsidRDefault="000D6583" w:rsidP="000D6583">
      <w:pPr>
        <w:ind w:left="284"/>
        <w:rPr>
          <w:sz w:val="20"/>
          <w:szCs w:val="20"/>
        </w:rPr>
      </w:pPr>
      <w:r w:rsidRPr="00942C42">
        <w:rPr>
          <w:sz w:val="20"/>
          <w:szCs w:val="20"/>
        </w:rPr>
        <w:t>Areas for improvement include inconsistent data capture on certain protected characteristics, limited use of specialist services, and variable engagement with communities to understand lived experiences. Some agencies manage discriminatory abuse internally rather than through multi-agency procedures.</w:t>
      </w:r>
    </w:p>
    <w:p w14:paraId="5BB48FEA" w14:textId="77777777" w:rsidR="000D6583" w:rsidRDefault="000D6583" w:rsidP="000D6583">
      <w:pPr>
        <w:ind w:left="284"/>
      </w:pPr>
      <w:r w:rsidRPr="00942C42">
        <w:rPr>
          <w:sz w:val="20"/>
          <w:szCs w:val="20"/>
        </w:rPr>
        <w:t>The SEG is encouraged to consider whether EDI data should be a standing agenda item, and whether further training or system improvements are needed to ensure safeguarding is equitable and inclusive for all adults in Salford.</w:t>
      </w:r>
    </w:p>
    <w:p w14:paraId="3DDBD64D" w14:textId="77777777" w:rsidR="000D6583" w:rsidRDefault="000D6583" w:rsidP="00D25DAC">
      <w:pPr>
        <w:ind w:left="284"/>
      </w:pPr>
    </w:p>
    <w:p w14:paraId="48D5B199" w14:textId="77777777" w:rsidR="00BF24E5" w:rsidRPr="00BF24E5" w:rsidRDefault="00BF24E5" w:rsidP="00BF24E5">
      <w:pPr>
        <w:pStyle w:val="ListParagraph"/>
        <w:numPr>
          <w:ilvl w:val="0"/>
          <w:numId w:val="10"/>
        </w:numPr>
        <w:rPr>
          <w:b/>
          <w:sz w:val="32"/>
          <w:szCs w:val="32"/>
        </w:rPr>
      </w:pPr>
      <w:r w:rsidRPr="00BF24E5">
        <w:rPr>
          <w:b/>
          <w:sz w:val="32"/>
          <w:szCs w:val="32"/>
        </w:rPr>
        <w:t>Resources</w:t>
      </w:r>
    </w:p>
    <w:p w14:paraId="490B0835" w14:textId="77777777" w:rsidR="00BF24E5" w:rsidRPr="007F7A37" w:rsidRDefault="00BF24E5" w:rsidP="00BF24E5">
      <w:pPr>
        <w:ind w:left="284"/>
        <w:rPr>
          <w:sz w:val="20"/>
          <w:szCs w:val="20"/>
          <w:lang w:val="en-US"/>
        </w:rPr>
      </w:pPr>
      <w:r w:rsidRPr="007F7A37">
        <w:rPr>
          <w:sz w:val="20"/>
          <w:szCs w:val="20"/>
          <w:lang w:val="en-US"/>
        </w:rPr>
        <w:t>For further information, agencies are encouraged to consult the full Outcome Report. Th</w:t>
      </w:r>
      <w:r w:rsidRPr="00C961F9">
        <w:rPr>
          <w:sz w:val="20"/>
          <w:szCs w:val="20"/>
          <w:lang w:val="en-US"/>
        </w:rPr>
        <w:t>is</w:t>
      </w:r>
      <w:r w:rsidRPr="007F7A37">
        <w:rPr>
          <w:sz w:val="20"/>
          <w:szCs w:val="20"/>
          <w:lang w:val="en-US"/>
        </w:rPr>
        <w:t xml:space="preserve"> document provide</w:t>
      </w:r>
      <w:r w:rsidRPr="00C961F9">
        <w:rPr>
          <w:sz w:val="20"/>
          <w:szCs w:val="20"/>
          <w:lang w:val="en-US"/>
        </w:rPr>
        <w:t>s</w:t>
      </w:r>
      <w:r w:rsidRPr="007F7A37">
        <w:rPr>
          <w:sz w:val="20"/>
          <w:szCs w:val="20"/>
          <w:lang w:val="en-US"/>
        </w:rPr>
        <w:t xml:space="preserve"> detailed findings, </w:t>
      </w:r>
      <w:r w:rsidRPr="00C961F9">
        <w:rPr>
          <w:sz w:val="20"/>
          <w:szCs w:val="20"/>
          <w:lang w:val="en-US"/>
        </w:rPr>
        <w:t xml:space="preserve">and makes </w:t>
      </w:r>
      <w:r w:rsidRPr="007F7A37">
        <w:rPr>
          <w:sz w:val="20"/>
          <w:szCs w:val="20"/>
          <w:lang w:val="en-US"/>
        </w:rPr>
        <w:t>recommendations</w:t>
      </w:r>
      <w:r w:rsidRPr="00C961F9">
        <w:rPr>
          <w:sz w:val="20"/>
          <w:szCs w:val="20"/>
          <w:lang w:val="en-US"/>
        </w:rPr>
        <w:t xml:space="preserve"> for </w:t>
      </w:r>
      <w:r w:rsidRPr="007F7A37">
        <w:rPr>
          <w:sz w:val="20"/>
          <w:szCs w:val="20"/>
          <w:lang w:val="en-US"/>
        </w:rPr>
        <w:t xml:space="preserve">operational actions </w:t>
      </w:r>
      <w:r w:rsidRPr="00C961F9">
        <w:rPr>
          <w:sz w:val="20"/>
          <w:szCs w:val="20"/>
          <w:lang w:val="en-US"/>
        </w:rPr>
        <w:t xml:space="preserve">in the spirit of </w:t>
      </w:r>
      <w:r w:rsidRPr="007F7A37">
        <w:rPr>
          <w:sz w:val="20"/>
          <w:szCs w:val="20"/>
          <w:lang w:val="en-US"/>
        </w:rPr>
        <w:t xml:space="preserve">continuous </w:t>
      </w:r>
      <w:r w:rsidRPr="00C961F9">
        <w:rPr>
          <w:sz w:val="20"/>
          <w:szCs w:val="20"/>
          <w:lang w:val="en-US"/>
        </w:rPr>
        <w:t xml:space="preserve">safeguarding </w:t>
      </w:r>
      <w:r w:rsidRPr="007F7A37">
        <w:rPr>
          <w:sz w:val="20"/>
          <w:szCs w:val="20"/>
          <w:lang w:val="en-US"/>
        </w:rPr>
        <w:t>improvement.</w:t>
      </w:r>
    </w:p>
    <w:p w14:paraId="4746B9FC" w14:textId="77777777" w:rsidR="00BF24E5" w:rsidRPr="00C961F9" w:rsidRDefault="00BF24E5" w:rsidP="00BF24E5">
      <w:pPr>
        <w:ind w:left="284"/>
        <w:rPr>
          <w:sz w:val="20"/>
          <w:szCs w:val="20"/>
          <w:lang w:val="en-US"/>
        </w:rPr>
      </w:pPr>
      <w:r w:rsidRPr="00C961F9">
        <w:rPr>
          <w:sz w:val="20"/>
          <w:szCs w:val="20"/>
          <w:lang w:val="en-US"/>
        </w:rPr>
        <w:t>Additional resources:</w:t>
      </w:r>
    </w:p>
    <w:p w14:paraId="7F59E57D" w14:textId="77777777" w:rsidR="00BF24E5" w:rsidRPr="00C961F9" w:rsidRDefault="00BF24E5" w:rsidP="005B3995">
      <w:pPr>
        <w:pStyle w:val="ListParagraph"/>
        <w:numPr>
          <w:ilvl w:val="0"/>
          <w:numId w:val="9"/>
        </w:numPr>
        <w:ind w:left="284" w:firstLine="0"/>
        <w:rPr>
          <w:sz w:val="20"/>
          <w:szCs w:val="20"/>
          <w:lang w:val="en-US"/>
        </w:rPr>
      </w:pPr>
      <w:hyperlink r:id="rId8" w:history="1">
        <w:r w:rsidRPr="00385D21">
          <w:rPr>
            <w:rStyle w:val="Hyperlink"/>
            <w:sz w:val="20"/>
            <w:szCs w:val="20"/>
            <w:lang w:val="en-US"/>
          </w:rPr>
          <w:t>Equality Act 2010</w:t>
        </w:r>
      </w:hyperlink>
    </w:p>
    <w:p w14:paraId="36C5F0A9" w14:textId="7926A5F5" w:rsidR="00BF24E5" w:rsidRPr="00C961F9" w:rsidRDefault="00BF24E5" w:rsidP="005B3995">
      <w:pPr>
        <w:pStyle w:val="ListParagraph"/>
        <w:numPr>
          <w:ilvl w:val="0"/>
          <w:numId w:val="9"/>
        </w:numPr>
        <w:ind w:left="284" w:firstLine="0"/>
        <w:rPr>
          <w:sz w:val="20"/>
          <w:szCs w:val="20"/>
          <w:lang w:val="en-US"/>
        </w:rPr>
      </w:pPr>
      <w:hyperlink r:id="rId9" w:history="1">
        <w:r w:rsidRPr="0029452D">
          <w:rPr>
            <w:rStyle w:val="Hyperlink"/>
            <w:sz w:val="20"/>
            <w:szCs w:val="20"/>
            <w:lang w:val="en-US"/>
          </w:rPr>
          <w:t>Unconscious Bias</w:t>
        </w:r>
      </w:hyperlink>
    </w:p>
    <w:p w14:paraId="53EB731C" w14:textId="3909D488" w:rsidR="00BF24E5" w:rsidRPr="00C961F9" w:rsidRDefault="00BF24E5" w:rsidP="005B3995">
      <w:pPr>
        <w:pStyle w:val="ListParagraph"/>
        <w:numPr>
          <w:ilvl w:val="0"/>
          <w:numId w:val="9"/>
        </w:numPr>
        <w:ind w:left="284" w:firstLine="0"/>
        <w:rPr>
          <w:sz w:val="20"/>
          <w:szCs w:val="20"/>
          <w:lang w:val="en-US"/>
        </w:rPr>
      </w:pPr>
      <w:hyperlink r:id="rId10" w:history="1">
        <w:r w:rsidRPr="009456CA">
          <w:rPr>
            <w:rStyle w:val="Hyperlink"/>
            <w:sz w:val="20"/>
            <w:szCs w:val="20"/>
            <w:lang w:val="en-US"/>
          </w:rPr>
          <w:t>Making Safeguarding Personal</w:t>
        </w:r>
      </w:hyperlink>
      <w:r w:rsidRPr="00C961F9">
        <w:rPr>
          <w:sz w:val="20"/>
          <w:szCs w:val="20"/>
          <w:lang w:val="en-US"/>
        </w:rPr>
        <w:t xml:space="preserve"> </w:t>
      </w:r>
    </w:p>
    <w:p w14:paraId="23E57BEF" w14:textId="77777777" w:rsidR="007512C0" w:rsidRDefault="00BF24E5" w:rsidP="007512C0">
      <w:pPr>
        <w:ind w:left="284"/>
        <w:rPr>
          <w:sz w:val="18"/>
          <w:szCs w:val="18"/>
        </w:rPr>
      </w:pPr>
      <w:r w:rsidRPr="00B41C4F">
        <w:rPr>
          <w:sz w:val="20"/>
          <w:szCs w:val="20"/>
        </w:rPr>
        <w:t>Agencies are also encouraged to link up with local specialist support groups to improve understanding and engagement</w:t>
      </w:r>
      <w:r>
        <w:rPr>
          <w:sz w:val="18"/>
          <w:szCs w:val="18"/>
        </w:rPr>
        <w:t>.</w:t>
      </w:r>
    </w:p>
    <w:p w14:paraId="11B1271A" w14:textId="77777777" w:rsidR="007512C0" w:rsidRDefault="007512C0" w:rsidP="007512C0">
      <w:pPr>
        <w:ind w:left="284"/>
        <w:rPr>
          <w:sz w:val="18"/>
          <w:szCs w:val="18"/>
        </w:rPr>
      </w:pPr>
    </w:p>
    <w:p w14:paraId="3509B74F" w14:textId="35D04343" w:rsidR="007512C0" w:rsidRPr="007512C0" w:rsidRDefault="007512C0" w:rsidP="007512C0">
      <w:pPr>
        <w:ind w:left="284"/>
        <w:rPr>
          <w:sz w:val="18"/>
          <w:szCs w:val="18"/>
        </w:rPr>
      </w:pPr>
      <w:r w:rsidRPr="007512C0">
        <w:rPr>
          <w:b/>
          <w:color w:val="222A35" w:themeColor="text2" w:themeShade="80"/>
        </w:rPr>
        <w:t>For further information, please contact:</w:t>
      </w:r>
      <w:r>
        <w:rPr>
          <w:b/>
          <w:color w:val="222A35" w:themeColor="text2" w:themeShade="80"/>
        </w:rPr>
        <w:t xml:space="preserve"> </w:t>
      </w:r>
      <w:r w:rsidRPr="007512C0">
        <w:rPr>
          <w:b/>
          <w:color w:val="222A35" w:themeColor="text2" w:themeShade="80"/>
        </w:rPr>
        <w:t>ssab@salford.gov.uk</w:t>
      </w:r>
    </w:p>
    <w:p w14:paraId="7F13C8C2" w14:textId="77777777" w:rsidR="007512C0" w:rsidRPr="00E65561" w:rsidRDefault="007512C0" w:rsidP="00BF24E5">
      <w:pPr>
        <w:ind w:left="284"/>
        <w:rPr>
          <w:sz w:val="18"/>
          <w:szCs w:val="18"/>
        </w:rPr>
      </w:pPr>
    </w:p>
    <w:p w14:paraId="7D776400" w14:textId="77777777" w:rsidR="00BF24E5" w:rsidRPr="00E65561" w:rsidRDefault="00BF24E5" w:rsidP="00BF24E5">
      <w:pPr>
        <w:ind w:left="142" w:hanging="142"/>
        <w:rPr>
          <w:sz w:val="18"/>
          <w:szCs w:val="18"/>
        </w:rPr>
      </w:pPr>
    </w:p>
    <w:p w14:paraId="0E859E8C" w14:textId="77777777" w:rsidR="00BF24E5" w:rsidRPr="000D6583" w:rsidRDefault="00BF24E5" w:rsidP="00D25DAC">
      <w:pPr>
        <w:ind w:left="284"/>
      </w:pPr>
    </w:p>
    <w:p w14:paraId="03B41CD7" w14:textId="77777777" w:rsidR="0031769E" w:rsidRPr="0031769E" w:rsidRDefault="0031769E" w:rsidP="00D25DAC">
      <w:pPr>
        <w:ind w:left="284"/>
        <w:rPr>
          <w:lang w:val="en-US"/>
        </w:rPr>
      </w:pPr>
    </w:p>
    <w:p w14:paraId="3E420EB1" w14:textId="77777777" w:rsidR="00D25DAC" w:rsidRDefault="00D25DAC" w:rsidP="00997A25">
      <w:pPr>
        <w:ind w:left="284"/>
        <w:rPr>
          <w:lang w:val="en-US"/>
        </w:rPr>
      </w:pPr>
    </w:p>
    <w:p w14:paraId="00E405C8" w14:textId="77777777" w:rsidR="00D25DAC" w:rsidRPr="007512C0" w:rsidRDefault="00D25DAC" w:rsidP="00997A25">
      <w:pPr>
        <w:ind w:left="284"/>
        <w:rPr>
          <w:color w:val="222A35" w:themeColor="text2" w:themeShade="80"/>
          <w:sz w:val="36"/>
          <w:szCs w:val="36"/>
          <w:lang w:val="en-US"/>
        </w:rPr>
      </w:pPr>
    </w:p>
    <w:p w14:paraId="59CE7AED" w14:textId="77777777" w:rsidR="00997A25" w:rsidRPr="007512C0" w:rsidRDefault="00997A25" w:rsidP="008C7E37">
      <w:pPr>
        <w:ind w:left="284"/>
        <w:rPr>
          <w:color w:val="222A35" w:themeColor="text2" w:themeShade="80"/>
          <w:lang w:val="en-US"/>
        </w:rPr>
      </w:pPr>
    </w:p>
    <w:p w14:paraId="197CE6B3" w14:textId="77777777" w:rsidR="008C7E37" w:rsidRPr="007512C0" w:rsidRDefault="008C7E37" w:rsidP="008C7E37">
      <w:pPr>
        <w:ind w:left="284"/>
        <w:rPr>
          <w:color w:val="222A35" w:themeColor="text2" w:themeShade="80"/>
          <w:lang w:val="en-US"/>
        </w:rPr>
      </w:pPr>
    </w:p>
    <w:p w14:paraId="36862D4A" w14:textId="4C82C55C" w:rsidR="002C2460" w:rsidRPr="007512C0" w:rsidRDefault="002C2460" w:rsidP="00D25DAC">
      <w:pPr>
        <w:rPr>
          <w:rFonts w:cstheme="minorHAnsi"/>
          <w:color w:val="222A35" w:themeColor="text2" w:themeShade="80"/>
          <w:sz w:val="19"/>
          <w:szCs w:val="19"/>
          <w:lang w:val="en-US"/>
        </w:rPr>
      </w:pPr>
    </w:p>
    <w:sectPr w:rsidR="002C2460" w:rsidRPr="007512C0" w:rsidSect="000A64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4CAE"/>
    <w:multiLevelType w:val="hybridMultilevel"/>
    <w:tmpl w:val="05D06C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71D3A08"/>
    <w:multiLevelType w:val="hybridMultilevel"/>
    <w:tmpl w:val="68D631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42290D"/>
    <w:multiLevelType w:val="hybridMultilevel"/>
    <w:tmpl w:val="385A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B5BF4"/>
    <w:multiLevelType w:val="hybridMultilevel"/>
    <w:tmpl w:val="C26A017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4F582AE4"/>
    <w:multiLevelType w:val="hybridMultilevel"/>
    <w:tmpl w:val="38743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B75D33"/>
    <w:multiLevelType w:val="hybridMultilevel"/>
    <w:tmpl w:val="74E88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A808CC"/>
    <w:multiLevelType w:val="hybridMultilevel"/>
    <w:tmpl w:val="2BA6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0961DC"/>
    <w:multiLevelType w:val="hybridMultilevel"/>
    <w:tmpl w:val="218EBC3A"/>
    <w:lvl w:ilvl="0" w:tplc="08090001">
      <w:start w:val="1"/>
      <w:numFmt w:val="bullet"/>
      <w:lvlText w:val=""/>
      <w:lvlJc w:val="left"/>
      <w:pPr>
        <w:ind w:left="1582" w:hanging="360"/>
      </w:pPr>
      <w:rPr>
        <w:rFonts w:ascii="Symbol" w:hAnsi="Symbol" w:hint="default"/>
      </w:rPr>
    </w:lvl>
    <w:lvl w:ilvl="1" w:tplc="08090003">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8" w15:restartNumberingAfterBreak="0">
    <w:nsid w:val="62D60764"/>
    <w:multiLevelType w:val="hybridMultilevel"/>
    <w:tmpl w:val="718C7CE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9" w15:restartNumberingAfterBreak="0">
    <w:nsid w:val="6B8B020C"/>
    <w:multiLevelType w:val="hybridMultilevel"/>
    <w:tmpl w:val="61022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3178877">
    <w:abstractNumId w:val="4"/>
  </w:num>
  <w:num w:numId="2" w16cid:durableId="1454861951">
    <w:abstractNumId w:val="5"/>
  </w:num>
  <w:num w:numId="3" w16cid:durableId="416943211">
    <w:abstractNumId w:val="2"/>
  </w:num>
  <w:num w:numId="4" w16cid:durableId="523133765">
    <w:abstractNumId w:val="1"/>
  </w:num>
  <w:num w:numId="5" w16cid:durableId="66926355">
    <w:abstractNumId w:val="0"/>
  </w:num>
  <w:num w:numId="6" w16cid:durableId="695809494">
    <w:abstractNumId w:val="8"/>
  </w:num>
  <w:num w:numId="7" w16cid:durableId="735468146">
    <w:abstractNumId w:val="9"/>
  </w:num>
  <w:num w:numId="8" w16cid:durableId="1869833200">
    <w:abstractNumId w:val="3"/>
  </w:num>
  <w:num w:numId="9" w16cid:durableId="1980183881">
    <w:abstractNumId w:val="7"/>
  </w:num>
  <w:num w:numId="10" w16cid:durableId="564219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6D"/>
    <w:rsid w:val="00035DC1"/>
    <w:rsid w:val="00052223"/>
    <w:rsid w:val="00054306"/>
    <w:rsid w:val="000552DF"/>
    <w:rsid w:val="00057924"/>
    <w:rsid w:val="00087385"/>
    <w:rsid w:val="000A3C9A"/>
    <w:rsid w:val="000A64DF"/>
    <w:rsid w:val="000C648F"/>
    <w:rsid w:val="000C66E1"/>
    <w:rsid w:val="000D6583"/>
    <w:rsid w:val="000E0AD8"/>
    <w:rsid w:val="000E329B"/>
    <w:rsid w:val="00107F83"/>
    <w:rsid w:val="00116AE8"/>
    <w:rsid w:val="00132B58"/>
    <w:rsid w:val="00161264"/>
    <w:rsid w:val="001A1332"/>
    <w:rsid w:val="001E52B0"/>
    <w:rsid w:val="001E717D"/>
    <w:rsid w:val="001F690D"/>
    <w:rsid w:val="00211081"/>
    <w:rsid w:val="002131DC"/>
    <w:rsid w:val="00226F51"/>
    <w:rsid w:val="0023471C"/>
    <w:rsid w:val="00235A82"/>
    <w:rsid w:val="00236DCC"/>
    <w:rsid w:val="002427C8"/>
    <w:rsid w:val="00263326"/>
    <w:rsid w:val="00267A41"/>
    <w:rsid w:val="00283913"/>
    <w:rsid w:val="0029260B"/>
    <w:rsid w:val="0029452D"/>
    <w:rsid w:val="00295593"/>
    <w:rsid w:val="002C2460"/>
    <w:rsid w:val="002E3FF9"/>
    <w:rsid w:val="002E6145"/>
    <w:rsid w:val="002E6382"/>
    <w:rsid w:val="002F082F"/>
    <w:rsid w:val="003041D4"/>
    <w:rsid w:val="00304E6B"/>
    <w:rsid w:val="0031769E"/>
    <w:rsid w:val="00334019"/>
    <w:rsid w:val="003359A4"/>
    <w:rsid w:val="00343A7D"/>
    <w:rsid w:val="00362B06"/>
    <w:rsid w:val="0037102D"/>
    <w:rsid w:val="00376BE8"/>
    <w:rsid w:val="00385D21"/>
    <w:rsid w:val="003905EB"/>
    <w:rsid w:val="00391093"/>
    <w:rsid w:val="00396E6D"/>
    <w:rsid w:val="003A0CBB"/>
    <w:rsid w:val="003B39EC"/>
    <w:rsid w:val="003B566D"/>
    <w:rsid w:val="003F71C3"/>
    <w:rsid w:val="00407228"/>
    <w:rsid w:val="00410647"/>
    <w:rsid w:val="004260E9"/>
    <w:rsid w:val="004360B5"/>
    <w:rsid w:val="00465FBB"/>
    <w:rsid w:val="004815B0"/>
    <w:rsid w:val="004953EA"/>
    <w:rsid w:val="004A0275"/>
    <w:rsid w:val="004B6247"/>
    <w:rsid w:val="004D398A"/>
    <w:rsid w:val="004F0CC1"/>
    <w:rsid w:val="004F7898"/>
    <w:rsid w:val="005005E0"/>
    <w:rsid w:val="0052126A"/>
    <w:rsid w:val="00523741"/>
    <w:rsid w:val="00526785"/>
    <w:rsid w:val="00533D8C"/>
    <w:rsid w:val="005431F0"/>
    <w:rsid w:val="00544EAC"/>
    <w:rsid w:val="00560484"/>
    <w:rsid w:val="00566133"/>
    <w:rsid w:val="00587A66"/>
    <w:rsid w:val="00594B8A"/>
    <w:rsid w:val="005A0A05"/>
    <w:rsid w:val="005B3995"/>
    <w:rsid w:val="005D5A6C"/>
    <w:rsid w:val="005E1545"/>
    <w:rsid w:val="005E2D5B"/>
    <w:rsid w:val="006054FD"/>
    <w:rsid w:val="00611929"/>
    <w:rsid w:val="0061527F"/>
    <w:rsid w:val="006162B9"/>
    <w:rsid w:val="0064398E"/>
    <w:rsid w:val="00651AE5"/>
    <w:rsid w:val="00667F2F"/>
    <w:rsid w:val="00682CD7"/>
    <w:rsid w:val="00690336"/>
    <w:rsid w:val="006926C6"/>
    <w:rsid w:val="006C0513"/>
    <w:rsid w:val="006C79AA"/>
    <w:rsid w:val="006E0A20"/>
    <w:rsid w:val="006E41D4"/>
    <w:rsid w:val="006F068D"/>
    <w:rsid w:val="00703A34"/>
    <w:rsid w:val="00715D11"/>
    <w:rsid w:val="00717F27"/>
    <w:rsid w:val="00743D1C"/>
    <w:rsid w:val="007512C0"/>
    <w:rsid w:val="0076314D"/>
    <w:rsid w:val="00766416"/>
    <w:rsid w:val="00774D92"/>
    <w:rsid w:val="00787F80"/>
    <w:rsid w:val="007C6CC3"/>
    <w:rsid w:val="007D0DE2"/>
    <w:rsid w:val="007D78AB"/>
    <w:rsid w:val="007E1C87"/>
    <w:rsid w:val="007F16BE"/>
    <w:rsid w:val="007F7A37"/>
    <w:rsid w:val="008168FE"/>
    <w:rsid w:val="0082267B"/>
    <w:rsid w:val="008466C3"/>
    <w:rsid w:val="00850CE7"/>
    <w:rsid w:val="00863AEC"/>
    <w:rsid w:val="00872961"/>
    <w:rsid w:val="00880208"/>
    <w:rsid w:val="00892B1B"/>
    <w:rsid w:val="008964B6"/>
    <w:rsid w:val="008B12F4"/>
    <w:rsid w:val="008C7E37"/>
    <w:rsid w:val="008D68CD"/>
    <w:rsid w:val="008E5C29"/>
    <w:rsid w:val="00902DCB"/>
    <w:rsid w:val="00903F2C"/>
    <w:rsid w:val="00917CB0"/>
    <w:rsid w:val="00934BB4"/>
    <w:rsid w:val="00937186"/>
    <w:rsid w:val="00942C42"/>
    <w:rsid w:val="00943E4C"/>
    <w:rsid w:val="009456CA"/>
    <w:rsid w:val="0095218E"/>
    <w:rsid w:val="00952CEC"/>
    <w:rsid w:val="00953F3F"/>
    <w:rsid w:val="00977B9C"/>
    <w:rsid w:val="00983407"/>
    <w:rsid w:val="00990B20"/>
    <w:rsid w:val="00997A25"/>
    <w:rsid w:val="009B6240"/>
    <w:rsid w:val="009C0392"/>
    <w:rsid w:val="009C0FE9"/>
    <w:rsid w:val="009D0E6C"/>
    <w:rsid w:val="009D4A4A"/>
    <w:rsid w:val="009E26DE"/>
    <w:rsid w:val="00A24C88"/>
    <w:rsid w:val="00A33A2F"/>
    <w:rsid w:val="00A3497C"/>
    <w:rsid w:val="00A3638B"/>
    <w:rsid w:val="00A570F7"/>
    <w:rsid w:val="00A733A2"/>
    <w:rsid w:val="00AA0743"/>
    <w:rsid w:val="00AA1977"/>
    <w:rsid w:val="00AD7EA5"/>
    <w:rsid w:val="00B002F8"/>
    <w:rsid w:val="00B05254"/>
    <w:rsid w:val="00B13829"/>
    <w:rsid w:val="00B152C7"/>
    <w:rsid w:val="00B167B5"/>
    <w:rsid w:val="00B41C4F"/>
    <w:rsid w:val="00B743C7"/>
    <w:rsid w:val="00B7564D"/>
    <w:rsid w:val="00B77A93"/>
    <w:rsid w:val="00B81C7D"/>
    <w:rsid w:val="00B87722"/>
    <w:rsid w:val="00B91813"/>
    <w:rsid w:val="00B918CF"/>
    <w:rsid w:val="00BA2C83"/>
    <w:rsid w:val="00BB1C06"/>
    <w:rsid w:val="00BB50BE"/>
    <w:rsid w:val="00BC7A8D"/>
    <w:rsid w:val="00BF24E5"/>
    <w:rsid w:val="00BF49EA"/>
    <w:rsid w:val="00C051B3"/>
    <w:rsid w:val="00C114F8"/>
    <w:rsid w:val="00C136B9"/>
    <w:rsid w:val="00C13987"/>
    <w:rsid w:val="00C206B6"/>
    <w:rsid w:val="00C42CBB"/>
    <w:rsid w:val="00C6036C"/>
    <w:rsid w:val="00C61C67"/>
    <w:rsid w:val="00C6730C"/>
    <w:rsid w:val="00C961F9"/>
    <w:rsid w:val="00CA5748"/>
    <w:rsid w:val="00CB5FD5"/>
    <w:rsid w:val="00CC2239"/>
    <w:rsid w:val="00CC3B53"/>
    <w:rsid w:val="00CD0FD3"/>
    <w:rsid w:val="00CE2047"/>
    <w:rsid w:val="00CE2C83"/>
    <w:rsid w:val="00CE46E6"/>
    <w:rsid w:val="00CF0ADD"/>
    <w:rsid w:val="00D00E21"/>
    <w:rsid w:val="00D1079C"/>
    <w:rsid w:val="00D1607F"/>
    <w:rsid w:val="00D24E27"/>
    <w:rsid w:val="00D25DAC"/>
    <w:rsid w:val="00D33D8F"/>
    <w:rsid w:val="00D36A4A"/>
    <w:rsid w:val="00D63698"/>
    <w:rsid w:val="00D66925"/>
    <w:rsid w:val="00D9552D"/>
    <w:rsid w:val="00DA3D2B"/>
    <w:rsid w:val="00DE761D"/>
    <w:rsid w:val="00DF7C8A"/>
    <w:rsid w:val="00E06CBD"/>
    <w:rsid w:val="00E46221"/>
    <w:rsid w:val="00E47FD9"/>
    <w:rsid w:val="00E65561"/>
    <w:rsid w:val="00E655CF"/>
    <w:rsid w:val="00E73022"/>
    <w:rsid w:val="00E7706D"/>
    <w:rsid w:val="00E80796"/>
    <w:rsid w:val="00E93374"/>
    <w:rsid w:val="00EC5CD7"/>
    <w:rsid w:val="00EE3AFF"/>
    <w:rsid w:val="00EF3CDF"/>
    <w:rsid w:val="00EF5BA3"/>
    <w:rsid w:val="00F0097E"/>
    <w:rsid w:val="00F041E8"/>
    <w:rsid w:val="00F2257D"/>
    <w:rsid w:val="00F30F17"/>
    <w:rsid w:val="00F52402"/>
    <w:rsid w:val="00F74061"/>
    <w:rsid w:val="00F92FA4"/>
    <w:rsid w:val="00F94D69"/>
    <w:rsid w:val="00FA6056"/>
    <w:rsid w:val="00FC4DC4"/>
    <w:rsid w:val="00FD46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27BB"/>
  <w15:chartTrackingRefBased/>
  <w15:docId w15:val="{06555CA8-E1C4-40B3-BF4E-D87791D0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64D"/>
    <w:rPr>
      <w:rFonts w:ascii="Segoe UI" w:hAnsi="Segoe UI" w:cs="Segoe UI"/>
      <w:sz w:val="18"/>
      <w:szCs w:val="18"/>
    </w:rPr>
  </w:style>
  <w:style w:type="paragraph" w:styleId="ListParagraph">
    <w:name w:val="List Paragraph"/>
    <w:basedOn w:val="Normal"/>
    <w:uiPriority w:val="34"/>
    <w:qFormat/>
    <w:rsid w:val="00F0097E"/>
    <w:pPr>
      <w:ind w:left="720"/>
      <w:contextualSpacing/>
    </w:pPr>
  </w:style>
  <w:style w:type="character" w:styleId="Hyperlink">
    <w:name w:val="Hyperlink"/>
    <w:basedOn w:val="DefaultParagraphFont"/>
    <w:uiPriority w:val="99"/>
    <w:unhideWhenUsed/>
    <w:rsid w:val="001E52B0"/>
    <w:rPr>
      <w:color w:val="0563C1" w:themeColor="hyperlink"/>
      <w:u w:val="single"/>
    </w:rPr>
  </w:style>
  <w:style w:type="character" w:styleId="UnresolvedMention">
    <w:name w:val="Unresolved Mention"/>
    <w:basedOn w:val="DefaultParagraphFont"/>
    <w:uiPriority w:val="99"/>
    <w:semiHidden/>
    <w:unhideWhenUsed/>
    <w:rsid w:val="001E5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7271">
      <w:bodyDiv w:val="1"/>
      <w:marLeft w:val="0"/>
      <w:marRight w:val="0"/>
      <w:marTop w:val="0"/>
      <w:marBottom w:val="0"/>
      <w:divBdr>
        <w:top w:val="none" w:sz="0" w:space="0" w:color="auto"/>
        <w:left w:val="none" w:sz="0" w:space="0" w:color="auto"/>
        <w:bottom w:val="none" w:sz="0" w:space="0" w:color="auto"/>
        <w:right w:val="none" w:sz="0" w:space="0" w:color="auto"/>
      </w:divBdr>
    </w:div>
    <w:div w:id="499857838">
      <w:bodyDiv w:val="1"/>
      <w:marLeft w:val="0"/>
      <w:marRight w:val="0"/>
      <w:marTop w:val="0"/>
      <w:marBottom w:val="0"/>
      <w:divBdr>
        <w:top w:val="none" w:sz="0" w:space="0" w:color="auto"/>
        <w:left w:val="none" w:sz="0" w:space="0" w:color="auto"/>
        <w:bottom w:val="none" w:sz="0" w:space="0" w:color="auto"/>
        <w:right w:val="none" w:sz="0" w:space="0" w:color="auto"/>
      </w:divBdr>
    </w:div>
    <w:div w:id="559679347">
      <w:bodyDiv w:val="1"/>
      <w:marLeft w:val="0"/>
      <w:marRight w:val="0"/>
      <w:marTop w:val="0"/>
      <w:marBottom w:val="0"/>
      <w:divBdr>
        <w:top w:val="none" w:sz="0" w:space="0" w:color="auto"/>
        <w:left w:val="none" w:sz="0" w:space="0" w:color="auto"/>
        <w:bottom w:val="none" w:sz="0" w:space="0" w:color="auto"/>
        <w:right w:val="none" w:sz="0" w:space="0" w:color="auto"/>
      </w:divBdr>
    </w:div>
    <w:div w:id="707725644">
      <w:bodyDiv w:val="1"/>
      <w:marLeft w:val="0"/>
      <w:marRight w:val="0"/>
      <w:marTop w:val="0"/>
      <w:marBottom w:val="0"/>
      <w:divBdr>
        <w:top w:val="none" w:sz="0" w:space="0" w:color="auto"/>
        <w:left w:val="none" w:sz="0" w:space="0" w:color="auto"/>
        <w:bottom w:val="none" w:sz="0" w:space="0" w:color="auto"/>
        <w:right w:val="none" w:sz="0" w:space="0" w:color="auto"/>
      </w:divBdr>
    </w:div>
    <w:div w:id="804935967">
      <w:bodyDiv w:val="1"/>
      <w:marLeft w:val="0"/>
      <w:marRight w:val="0"/>
      <w:marTop w:val="0"/>
      <w:marBottom w:val="0"/>
      <w:divBdr>
        <w:top w:val="none" w:sz="0" w:space="0" w:color="auto"/>
        <w:left w:val="none" w:sz="0" w:space="0" w:color="auto"/>
        <w:bottom w:val="none" w:sz="0" w:space="0" w:color="auto"/>
        <w:right w:val="none" w:sz="0" w:space="0" w:color="auto"/>
      </w:divBdr>
    </w:div>
    <w:div w:id="813178635">
      <w:bodyDiv w:val="1"/>
      <w:marLeft w:val="0"/>
      <w:marRight w:val="0"/>
      <w:marTop w:val="0"/>
      <w:marBottom w:val="0"/>
      <w:divBdr>
        <w:top w:val="none" w:sz="0" w:space="0" w:color="auto"/>
        <w:left w:val="none" w:sz="0" w:space="0" w:color="auto"/>
        <w:bottom w:val="none" w:sz="0" w:space="0" w:color="auto"/>
        <w:right w:val="none" w:sz="0" w:space="0" w:color="auto"/>
      </w:divBdr>
    </w:div>
    <w:div w:id="1096949153">
      <w:bodyDiv w:val="1"/>
      <w:marLeft w:val="0"/>
      <w:marRight w:val="0"/>
      <w:marTop w:val="0"/>
      <w:marBottom w:val="0"/>
      <w:divBdr>
        <w:top w:val="none" w:sz="0" w:space="0" w:color="auto"/>
        <w:left w:val="none" w:sz="0" w:space="0" w:color="auto"/>
        <w:bottom w:val="none" w:sz="0" w:space="0" w:color="auto"/>
        <w:right w:val="none" w:sz="0" w:space="0" w:color="auto"/>
      </w:divBdr>
    </w:div>
    <w:div w:id="1102191509">
      <w:bodyDiv w:val="1"/>
      <w:marLeft w:val="0"/>
      <w:marRight w:val="0"/>
      <w:marTop w:val="0"/>
      <w:marBottom w:val="0"/>
      <w:divBdr>
        <w:top w:val="none" w:sz="0" w:space="0" w:color="auto"/>
        <w:left w:val="none" w:sz="0" w:space="0" w:color="auto"/>
        <w:bottom w:val="none" w:sz="0" w:space="0" w:color="auto"/>
        <w:right w:val="none" w:sz="0" w:space="0" w:color="auto"/>
      </w:divBdr>
    </w:div>
    <w:div w:id="1199322653">
      <w:bodyDiv w:val="1"/>
      <w:marLeft w:val="0"/>
      <w:marRight w:val="0"/>
      <w:marTop w:val="0"/>
      <w:marBottom w:val="0"/>
      <w:divBdr>
        <w:top w:val="none" w:sz="0" w:space="0" w:color="auto"/>
        <w:left w:val="none" w:sz="0" w:space="0" w:color="auto"/>
        <w:bottom w:val="none" w:sz="0" w:space="0" w:color="auto"/>
        <w:right w:val="none" w:sz="0" w:space="0" w:color="auto"/>
      </w:divBdr>
    </w:div>
    <w:div w:id="1213225215">
      <w:bodyDiv w:val="1"/>
      <w:marLeft w:val="0"/>
      <w:marRight w:val="0"/>
      <w:marTop w:val="0"/>
      <w:marBottom w:val="0"/>
      <w:divBdr>
        <w:top w:val="none" w:sz="0" w:space="0" w:color="auto"/>
        <w:left w:val="none" w:sz="0" w:space="0" w:color="auto"/>
        <w:bottom w:val="none" w:sz="0" w:space="0" w:color="auto"/>
        <w:right w:val="none" w:sz="0" w:space="0" w:color="auto"/>
      </w:divBdr>
    </w:div>
    <w:div w:id="1224680805">
      <w:bodyDiv w:val="1"/>
      <w:marLeft w:val="0"/>
      <w:marRight w:val="0"/>
      <w:marTop w:val="0"/>
      <w:marBottom w:val="0"/>
      <w:divBdr>
        <w:top w:val="none" w:sz="0" w:space="0" w:color="auto"/>
        <w:left w:val="none" w:sz="0" w:space="0" w:color="auto"/>
        <w:bottom w:val="none" w:sz="0" w:space="0" w:color="auto"/>
        <w:right w:val="none" w:sz="0" w:space="0" w:color="auto"/>
      </w:divBdr>
    </w:div>
    <w:div w:id="1289976039">
      <w:bodyDiv w:val="1"/>
      <w:marLeft w:val="0"/>
      <w:marRight w:val="0"/>
      <w:marTop w:val="0"/>
      <w:marBottom w:val="0"/>
      <w:divBdr>
        <w:top w:val="none" w:sz="0" w:space="0" w:color="auto"/>
        <w:left w:val="none" w:sz="0" w:space="0" w:color="auto"/>
        <w:bottom w:val="none" w:sz="0" w:space="0" w:color="auto"/>
        <w:right w:val="none" w:sz="0" w:space="0" w:color="auto"/>
      </w:divBdr>
    </w:div>
    <w:div w:id="1647008092">
      <w:bodyDiv w:val="1"/>
      <w:marLeft w:val="0"/>
      <w:marRight w:val="0"/>
      <w:marTop w:val="0"/>
      <w:marBottom w:val="0"/>
      <w:divBdr>
        <w:top w:val="none" w:sz="0" w:space="0" w:color="auto"/>
        <w:left w:val="none" w:sz="0" w:space="0" w:color="auto"/>
        <w:bottom w:val="none" w:sz="0" w:space="0" w:color="auto"/>
        <w:right w:val="none" w:sz="0" w:space="0" w:color="auto"/>
      </w:divBdr>
    </w:div>
    <w:div w:id="1735620129">
      <w:bodyDiv w:val="1"/>
      <w:marLeft w:val="0"/>
      <w:marRight w:val="0"/>
      <w:marTop w:val="0"/>
      <w:marBottom w:val="0"/>
      <w:divBdr>
        <w:top w:val="none" w:sz="0" w:space="0" w:color="auto"/>
        <w:left w:val="none" w:sz="0" w:space="0" w:color="auto"/>
        <w:bottom w:val="none" w:sz="0" w:space="0" w:color="auto"/>
        <w:right w:val="none" w:sz="0" w:space="0" w:color="auto"/>
      </w:divBdr>
    </w:div>
    <w:div w:id="1902476854">
      <w:bodyDiv w:val="1"/>
      <w:marLeft w:val="0"/>
      <w:marRight w:val="0"/>
      <w:marTop w:val="0"/>
      <w:marBottom w:val="0"/>
      <w:divBdr>
        <w:top w:val="none" w:sz="0" w:space="0" w:color="auto"/>
        <w:left w:val="none" w:sz="0" w:space="0" w:color="auto"/>
        <w:bottom w:val="none" w:sz="0" w:space="0" w:color="auto"/>
        <w:right w:val="none" w:sz="0" w:space="0" w:color="auto"/>
      </w:divBdr>
    </w:div>
    <w:div w:id="19274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hildren.salford.gov.uk/media/vx5hltet/7mb-equality-act-final-sept-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afeguardingadults.salford.gov.uk/media/yrzn1zkz/msp-7mb-plain-text-version.pdf" TargetMode="External"/><Relationship Id="rId4" Type="http://schemas.openxmlformats.org/officeDocument/2006/relationships/numbering" Target="numbering.xml"/><Relationship Id="rId9" Type="http://schemas.openxmlformats.org/officeDocument/2006/relationships/hyperlink" Target="https://safeguardingadults.salford.gov.uk/media/wqwf3lmw/unconscious-bias-7mb-plain-text-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c87e99-277c-4fbb-9f89-93131cd5b960" xsi:nil="true"/>
    <lcf76f155ced4ddcb4097134ff3c332f xmlns="24400cb7-d8a0-4236-8b20-190b6d4f09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5546E5C8AC1B4B84D014CB91F62AB8" ma:contentTypeVersion="13" ma:contentTypeDescription="Create a new document." ma:contentTypeScope="" ma:versionID="8b7694b28dcfda192780fd81990468a5">
  <xsd:schema xmlns:xsd="http://www.w3.org/2001/XMLSchema" xmlns:xs="http://www.w3.org/2001/XMLSchema" xmlns:p="http://schemas.microsoft.com/office/2006/metadata/properties" xmlns:ns2="24400cb7-d8a0-4236-8b20-190b6d4f0922" xmlns:ns3="71c87e99-277c-4fbb-9f89-93131cd5b960" targetNamespace="http://schemas.microsoft.com/office/2006/metadata/properties" ma:root="true" ma:fieldsID="da19d3c95dfdc5d702c5c22e61afa396" ns2:_="" ns3:_="">
    <xsd:import namespace="24400cb7-d8a0-4236-8b20-190b6d4f0922"/>
    <xsd:import namespace="71c87e99-277c-4fbb-9f89-93131cd5b9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00cb7-d8a0-4236-8b20-190b6d4f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26791f-85d3-44e8-b31a-d42d511e26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87e99-277c-4fbb-9f89-93131cd5b9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649798-1c7f-49a2-aeb0-8568cdcff284}" ma:internalName="TaxCatchAll" ma:showField="CatchAllData" ma:web="71c87e99-277c-4fbb-9f89-93131cd5b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C9331-4D11-402E-9D98-334827BDF06F}">
  <ds:schemaRefs>
    <ds:schemaRef ds:uri="http://schemas.microsoft.com/sharepoint/v3/contenttype/forms"/>
  </ds:schemaRefs>
</ds:datastoreItem>
</file>

<file path=customXml/itemProps2.xml><?xml version="1.0" encoding="utf-8"?>
<ds:datastoreItem xmlns:ds="http://schemas.openxmlformats.org/officeDocument/2006/customXml" ds:itemID="{4C7E4031-A86C-43E8-9844-6713AD83419D}">
  <ds:schemaRefs>
    <ds:schemaRef ds:uri="http://schemas.microsoft.com/office/2006/metadata/properties"/>
    <ds:schemaRef ds:uri="http://schemas.microsoft.com/office/infopath/2007/PartnerControls"/>
    <ds:schemaRef ds:uri="71c87e99-277c-4fbb-9f89-93131cd5b960"/>
    <ds:schemaRef ds:uri="24400cb7-d8a0-4236-8b20-190b6d4f0922"/>
  </ds:schemaRefs>
</ds:datastoreItem>
</file>

<file path=customXml/itemProps3.xml><?xml version="1.0" encoding="utf-8"?>
<ds:datastoreItem xmlns:ds="http://schemas.openxmlformats.org/officeDocument/2006/customXml" ds:itemID="{15461871-2740-4F55-A62F-5F0B9A6C6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00cb7-d8a0-4236-8b20-190b6d4f0922"/>
    <ds:schemaRef ds:uri="71c87e99-277c-4fbb-9f89-93131cd5b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3489</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Thornton</dc:creator>
  <cp:keywords/>
  <dc:description/>
  <cp:lastModifiedBy>Drozario-evans, Katie</cp:lastModifiedBy>
  <cp:revision>2</cp:revision>
  <cp:lastPrinted>2025-07-15T16:14:00Z</cp:lastPrinted>
  <dcterms:created xsi:type="dcterms:W3CDTF">2025-10-02T14:48:00Z</dcterms:created>
  <dcterms:modified xsi:type="dcterms:W3CDTF">2025-10-02T14:48:00Z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0x010100CE5546E5C8AC1B4B84D014CB91F62AB8</vt:lpwstr>
  </property>
  <property fmtid="{D5CDD505-2E9C-101B-9397-08002B2CF9AE}" pid="3" name="MediaServiceImageTags">
    <vt:lpwstr/>
  </property>
</Properties>
</file>